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83" w:rsidRPr="00E66483" w:rsidRDefault="00E66483" w:rsidP="00BC439D">
      <w:pPr>
        <w:spacing w:after="80" w:line="240" w:lineRule="auto"/>
        <w:jc w:val="center"/>
        <w:rPr>
          <w:rFonts w:cs="Times New Roman"/>
          <w:b/>
          <w:bCs/>
          <w:color w:val="FF0000"/>
          <w:sz w:val="28"/>
          <w:szCs w:val="28"/>
        </w:rPr>
      </w:pPr>
      <w:r w:rsidRPr="00E66483">
        <w:rPr>
          <w:rFonts w:cs="Times New Roman"/>
          <w:b/>
          <w:bCs/>
          <w:color w:val="FF0000"/>
          <w:sz w:val="28"/>
          <w:szCs w:val="28"/>
        </w:rPr>
        <w:t>СТРУКТУРА и ОБЪЕМ ГОСУДАРСТВЕННОГО ЗАДАНИЯ на 2020 год</w:t>
      </w:r>
    </w:p>
    <w:p w:rsidR="00E66483" w:rsidRPr="00E66483" w:rsidRDefault="00E66483" w:rsidP="00BC439D">
      <w:pPr>
        <w:spacing w:after="80" w:line="240" w:lineRule="auto"/>
        <w:jc w:val="both"/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</w:pP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 xml:space="preserve">Структура </w:t>
      </w:r>
      <w:proofErr w:type="spellStart"/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>Госзадания</w:t>
      </w:r>
      <w:proofErr w:type="spellEnd"/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 xml:space="preserve"> на 2020 год представлена 8 </w:t>
      </w:r>
      <w:r w:rsidR="009B14E4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>Т</w:t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>емами НИР.</w:t>
      </w:r>
    </w:p>
    <w:p w:rsidR="00E66483" w:rsidRPr="00E66483" w:rsidRDefault="00E66483" w:rsidP="00BC439D">
      <w:pPr>
        <w:spacing w:after="80" w:line="240" w:lineRule="auto"/>
        <w:jc w:val="right"/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66483"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 xml:space="preserve">ВНИМАНИЕ! Номера </w:t>
      </w:r>
      <w:proofErr w:type="spellStart"/>
      <w:r w:rsidRPr="00E66483"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>Госзадания</w:t>
      </w:r>
      <w:proofErr w:type="spellEnd"/>
      <w:r w:rsidRPr="00E66483"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 xml:space="preserve"> </w:t>
      </w:r>
      <w:r w:rsidR="009B14E4"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>Т</w:t>
      </w:r>
      <w:r w:rsidRPr="00E66483"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>ем остались прежними относительно 2019 года.</w:t>
      </w:r>
    </w:p>
    <w:p w:rsidR="00E66483" w:rsidRPr="00E66483" w:rsidRDefault="00E66483" w:rsidP="00BC439D">
      <w:pPr>
        <w:spacing w:after="8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E66483">
        <w:rPr>
          <w:rFonts w:eastAsia="Calibri" w:hAnsi="Calibri" w:cs="Times New Roman"/>
          <w:b/>
          <w:bCs/>
          <w:color w:val="C00000"/>
          <w:kern w:val="24"/>
          <w:sz w:val="26"/>
          <w:szCs w:val="2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№ ГЗ 0108-2019-0001 </w:t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>«Молекулярно-генетические механизмы регуляции клеточной дифференцировки и морфогенеза».</w:t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="0000319D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Рук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оводите</w:t>
      </w:r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ль: </w:t>
      </w:r>
      <w:proofErr w:type="gramStart"/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д.б</w:t>
      </w:r>
      <w:proofErr w:type="gramEnd"/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.н. О.Б. Симонова</w:t>
      </w:r>
    </w:p>
    <w:p w:rsidR="00E66483" w:rsidRPr="00E66483" w:rsidRDefault="00E66483" w:rsidP="00E66483">
      <w:pPr>
        <w:spacing w:after="0" w:line="240" w:lineRule="auto"/>
        <w:jc w:val="both"/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</w:pPr>
      <w:r w:rsidRPr="00E66483">
        <w:rPr>
          <w:rFonts w:eastAsia="Calibri" w:hAnsi="Calibri" w:cs="Times New Roman"/>
          <w:b/>
          <w:bCs/>
          <w:color w:val="C00000"/>
          <w:kern w:val="24"/>
          <w:sz w:val="26"/>
          <w:szCs w:val="2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№ ГЗ 0108-2019-0002 </w:t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>«</w:t>
      </w:r>
      <w:proofErr w:type="spellStart"/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>Медиаторные</w:t>
      </w:r>
      <w:proofErr w:type="spellEnd"/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>, мембранные и внутриклеточные сигнальные факторы в развитии и реализации адаптационных программ».</w:t>
      </w:r>
    </w:p>
    <w:p w:rsidR="00E66483" w:rsidRPr="00E66483" w:rsidRDefault="00E66483" w:rsidP="00BC439D">
      <w:pPr>
        <w:spacing w:after="80" w:line="240" w:lineRule="auto"/>
        <w:jc w:val="right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proofErr w:type="gramStart"/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Рук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оводите</w:t>
      </w:r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ли: д.б.н. Н.П. Шарова, д.б.н. И.С. Захаров</w:t>
      </w:r>
      <w:proofErr w:type="gramEnd"/>
    </w:p>
    <w:p w:rsidR="00E66483" w:rsidRPr="00E66483" w:rsidRDefault="00E66483" w:rsidP="00BC439D">
      <w:pPr>
        <w:spacing w:after="8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E66483">
        <w:rPr>
          <w:rFonts w:eastAsia="Calibri" w:hAnsi="Calibri" w:cs="Times New Roman"/>
          <w:b/>
          <w:bCs/>
          <w:color w:val="C00000"/>
          <w:kern w:val="24"/>
          <w:sz w:val="26"/>
          <w:szCs w:val="2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№ ГЗ 0108-2019-0003 </w:t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>«Механизмы регуляции раннего онтогенеза: гаметогенез, оплодотворение и раннее развитие животных».</w:t>
      </w:r>
      <w:r w:rsidR="0000319D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 xml:space="preserve">     </w:t>
      </w:r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Рук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оводите</w:t>
      </w:r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л</w:t>
      </w:r>
      <w:bookmarkStart w:id="0" w:name="_GoBack"/>
      <w:bookmarkEnd w:id="0"/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ь</w:t>
      </w:r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: </w:t>
      </w:r>
      <w:proofErr w:type="gramStart"/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д.б</w:t>
      </w:r>
      <w:proofErr w:type="gramEnd"/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.н., проф. Н.Д. Озернюк</w:t>
      </w:r>
    </w:p>
    <w:p w:rsidR="00E66483" w:rsidRPr="00E66483" w:rsidRDefault="00E66483" w:rsidP="00BC439D">
      <w:pPr>
        <w:spacing w:after="8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E66483">
        <w:rPr>
          <w:rFonts w:eastAsia="Calibri" w:hAnsi="Calibri" w:cs="Times New Roman"/>
          <w:b/>
          <w:bCs/>
          <w:color w:val="C00000"/>
          <w:kern w:val="24"/>
          <w:sz w:val="26"/>
          <w:szCs w:val="2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№ 0108-2019-0004 </w:t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>«Механизмы клеточной дифференциации в морфогенезе и процессах восстановления».</w:t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="009B14E4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="009B14E4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="009B14E4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="0000319D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 xml:space="preserve">        </w:t>
      </w:r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Рук</w:t>
      </w:r>
      <w:r w:rsidR="009B14E4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оводите</w:t>
      </w:r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ль: </w:t>
      </w:r>
      <w:proofErr w:type="gramStart"/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д.б</w:t>
      </w:r>
      <w:proofErr w:type="gramEnd"/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.н., чл.-корр. РАН Е.А. Воротеляк</w:t>
      </w:r>
    </w:p>
    <w:p w:rsidR="00E66483" w:rsidRPr="00E66483" w:rsidRDefault="00E66483" w:rsidP="00BC439D">
      <w:pPr>
        <w:spacing w:after="8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E66483">
        <w:rPr>
          <w:rFonts w:eastAsia="Calibri" w:hAnsi="Calibri" w:cs="Times New Roman"/>
          <w:b/>
          <w:bCs/>
          <w:color w:val="C00000"/>
          <w:kern w:val="24"/>
          <w:sz w:val="26"/>
          <w:szCs w:val="2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№ 0108-2019-0005</w:t>
      </w:r>
      <w:r w:rsidRPr="00E66483">
        <w:rPr>
          <w:rFonts w:eastAsia="Calibri" w:hAnsi="Calibri" w:cs="Times New Roman"/>
          <w:b/>
          <w:bCs/>
          <w:color w:val="C00000"/>
          <w:kern w:val="24"/>
          <w:sz w:val="26"/>
          <w:szCs w:val="26"/>
          <w:lang w:eastAsia="ru-RU"/>
        </w:rPr>
        <w:t xml:space="preserve"> </w:t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>«Клеточные и молекулярные механизмы развития и регенерации тканей и органов у низших и высших позвоночных. Поиск способов регуляции восстановительных процессов».</w:t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="0000319D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="0000319D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="0000319D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="0000319D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="0000319D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  <w:t xml:space="preserve">    </w:t>
      </w:r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Рук</w:t>
      </w:r>
      <w:r w:rsidR="009B14E4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оводите</w:t>
      </w:r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ль: </w:t>
      </w:r>
      <w:proofErr w:type="gramStart"/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к.б</w:t>
      </w:r>
      <w:proofErr w:type="gramEnd"/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.н. Ю.В. Маркитантова</w:t>
      </w:r>
    </w:p>
    <w:p w:rsidR="00E66483" w:rsidRPr="00E66483" w:rsidRDefault="00E66483" w:rsidP="00BC439D">
      <w:pPr>
        <w:spacing w:after="8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E66483">
        <w:rPr>
          <w:rFonts w:eastAsia="Calibri" w:hAnsi="Calibri" w:cs="Times New Roman"/>
          <w:b/>
          <w:bCs/>
          <w:color w:val="C00000"/>
          <w:kern w:val="24"/>
          <w:sz w:val="26"/>
          <w:szCs w:val="2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№ 0108-2019-0006 </w:t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 xml:space="preserve">«Роль сигнальных молекул мозга в нейроэндокринных и нервных регуляциях в онтогенезе». </w:t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="009B14E4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  <w:t xml:space="preserve">   </w:t>
      </w:r>
      <w:r w:rsidR="0000319D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 xml:space="preserve">     </w:t>
      </w:r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Рук</w:t>
      </w:r>
      <w:r w:rsidR="009B14E4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оводите</w:t>
      </w:r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ль: </w:t>
      </w:r>
      <w:proofErr w:type="gramStart"/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д.б</w:t>
      </w:r>
      <w:proofErr w:type="gramEnd"/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.н., академик РАН М.В. Угрюмов</w:t>
      </w:r>
    </w:p>
    <w:p w:rsidR="00BC439D" w:rsidRDefault="00E66483" w:rsidP="00BC439D">
      <w:pPr>
        <w:spacing w:after="0" w:line="240" w:lineRule="auto"/>
        <w:jc w:val="both"/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</w:pPr>
      <w:r w:rsidRPr="00E66483">
        <w:rPr>
          <w:rFonts w:eastAsia="Calibri" w:hAnsi="Calibri" w:cs="Times New Roman"/>
          <w:b/>
          <w:bCs/>
          <w:color w:val="C00000"/>
          <w:kern w:val="24"/>
          <w:sz w:val="26"/>
          <w:szCs w:val="2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№ 0108-2019-0007 </w:t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>«Молекулярно-генетические и экологические механизмы видообразования и ранних этапов эволюции. Разработка подходов для оценки гомеостаза развития биологических систем (методология популяционной биологии развития)»</w:t>
      </w:r>
      <w:r w:rsidR="00BC439D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>.</w:t>
      </w:r>
    </w:p>
    <w:p w:rsidR="00E66483" w:rsidRPr="00E66483" w:rsidRDefault="00E66483" w:rsidP="003A3825">
      <w:pPr>
        <w:spacing w:after="80" w:line="240" w:lineRule="auto"/>
        <w:jc w:val="right"/>
        <w:rPr>
          <w:rFonts w:cs="Times New Roman"/>
          <w:b/>
          <w:color w:val="002060"/>
          <w:sz w:val="26"/>
          <w:szCs w:val="26"/>
        </w:rPr>
      </w:pPr>
      <w:proofErr w:type="gramStart"/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Рук</w:t>
      </w:r>
      <w:r w:rsidR="009B14E4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оводите</w:t>
      </w:r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ли: д.б.н. А.М. Куликов, д.б.н., проф., чл.-корр. РАН В.М. Захаров</w:t>
      </w:r>
      <w:proofErr w:type="gramEnd"/>
    </w:p>
    <w:p w:rsidR="00E66483" w:rsidRDefault="00E66483" w:rsidP="00BC439D">
      <w:pPr>
        <w:spacing w:after="12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E66483">
        <w:rPr>
          <w:rFonts w:eastAsia="Calibri" w:hAnsi="Calibri" w:cs="Times New Roman"/>
          <w:b/>
          <w:bCs/>
          <w:color w:val="C00000"/>
          <w:kern w:val="24"/>
          <w:sz w:val="26"/>
          <w:szCs w:val="26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№ 0088-2019-0005 </w:t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>«Нейрогуморальные механизмы регуляции развития и активации адаптивных ресурсов организма».</w:t>
      </w:r>
      <w:r w:rsidRPr="00E66483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="009B14E4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="009B14E4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ab/>
      </w:r>
      <w:r w:rsidR="0000319D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 xml:space="preserve">       </w:t>
      </w:r>
      <w:r w:rsidR="001211C0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 xml:space="preserve">   </w:t>
      </w:r>
      <w:r w:rsidR="0000319D">
        <w:rPr>
          <w:rFonts w:eastAsia="Calibri" w:hAnsi="Calibri" w:cs="Times New Roman"/>
          <w:b/>
          <w:bCs/>
          <w:color w:val="003366"/>
          <w:kern w:val="24"/>
          <w:sz w:val="26"/>
          <w:szCs w:val="26"/>
          <w:lang w:eastAsia="ru-RU"/>
        </w:rPr>
        <w:t xml:space="preserve"> </w:t>
      </w:r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Рук</w:t>
      </w:r>
      <w:r w:rsidR="009B14E4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оводите</w:t>
      </w:r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ль: </w:t>
      </w:r>
      <w:proofErr w:type="gramStart"/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д.б</w:t>
      </w:r>
      <w:proofErr w:type="gramEnd"/>
      <w:r w:rsidRPr="00E66483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.н. Е.Е. Воронежская</w:t>
      </w:r>
    </w:p>
    <w:p w:rsidR="009F6455" w:rsidRDefault="0000319D" w:rsidP="00BC439D">
      <w:pPr>
        <w:spacing w:after="8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06077E"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>ВНИМАНИЕ!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proofErr w:type="gramStart"/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Согласно утвержденным Ученым Советом ИБР РАН Правил</w:t>
      </w:r>
      <w:r w:rsidR="0006077E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ам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расчета показателя результативности научной деятельности (ПРНД) на 2021 год (Протокол № 4 от 27.04.2020) </w:t>
      </w:r>
      <w:r w:rsidR="0006077E" w:rsidRPr="0006077E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публикации </w:t>
      </w:r>
      <w:r w:rsidR="0006077E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научных </w:t>
      </w:r>
      <w:r w:rsidR="0006077E" w:rsidRPr="0006077E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сотрудников, сданные в печать после </w:t>
      </w:r>
      <w:r w:rsidR="0006077E" w:rsidRPr="0006077E">
        <w:rPr>
          <w:rFonts w:eastAsia="Calibri" w:hAnsi="Calibri" w:cs="Times New Roman"/>
          <w:b/>
          <w:color w:val="FF0000"/>
          <w:kern w:val="24"/>
          <w:sz w:val="26"/>
          <w:szCs w:val="26"/>
          <w:lang w:eastAsia="ru-RU"/>
        </w:rPr>
        <w:t>30.04.2020</w:t>
      </w:r>
      <w:r w:rsidR="009F6455">
        <w:rPr>
          <w:rFonts w:eastAsia="Calibri" w:hAnsi="Calibri" w:cs="Times New Roman"/>
          <w:b/>
          <w:color w:val="FF0000"/>
          <w:kern w:val="24"/>
          <w:sz w:val="26"/>
          <w:szCs w:val="26"/>
          <w:lang w:eastAsia="ru-RU"/>
        </w:rPr>
        <w:t>,</w:t>
      </w:r>
      <w:r w:rsidR="0006077E" w:rsidRPr="0006077E"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 xml:space="preserve"> </w:t>
      </w:r>
      <w:r w:rsidR="0006077E" w:rsidRPr="0006077E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ОБЯЗАТЕЛЬНО должны иметь </w:t>
      </w:r>
      <w:proofErr w:type="spellStart"/>
      <w:r w:rsidR="0006077E" w:rsidRPr="0006077E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аффилиацию</w:t>
      </w:r>
      <w:proofErr w:type="spellEnd"/>
      <w:r w:rsidR="0006077E" w:rsidRPr="0006077E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ИБР РАН, а также ссылку на номер Государственного Задания Института или номера гранта/программы.</w:t>
      </w:r>
      <w:proofErr w:type="gramEnd"/>
    </w:p>
    <w:p w:rsidR="0006077E" w:rsidRDefault="0006077E" w:rsidP="00BC439D">
      <w:pPr>
        <w:spacing w:after="8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При этих условиях публикации принимаются для расчета ПРНД сотрудника.</w:t>
      </w:r>
    </w:p>
    <w:p w:rsidR="009F6455" w:rsidRDefault="0006077E" w:rsidP="00BC439D">
      <w:pPr>
        <w:spacing w:after="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06077E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Форм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ы оформления ссылок </w:t>
      </w:r>
      <w:r w:rsidRPr="0006077E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приведен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ы</w:t>
      </w:r>
      <w:r w:rsidRPr="0006077E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на сайте Института</w:t>
      </w:r>
    </w:p>
    <w:p w:rsidR="0006077E" w:rsidRDefault="009E6597" w:rsidP="003A3825">
      <w:pPr>
        <w:spacing w:after="12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hyperlink r:id="rId7" w:history="1">
        <w:r w:rsidR="000C35E5" w:rsidRPr="00B7173D">
          <w:rPr>
            <w:rStyle w:val="a4"/>
            <w:rFonts w:eastAsia="Calibri" w:hAnsi="Calibri" w:cs="Times New Roman"/>
            <w:b/>
            <w:bCs/>
            <w:kern w:val="24"/>
            <w:sz w:val="26"/>
            <w:szCs w:val="26"/>
            <w:lang w:eastAsia="ru-RU"/>
          </w:rPr>
          <w:t>http://idbras.ru/doc/3_Oforml-Ssylok-Publ-GZ-CKP-2020.docx</w:t>
        </w:r>
      </w:hyperlink>
      <w:r w:rsidR="0006077E" w:rsidRPr="0006077E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</w:t>
      </w:r>
    </w:p>
    <w:p w:rsidR="000C35E5" w:rsidRDefault="000C35E5" w:rsidP="003A3825">
      <w:pPr>
        <w:spacing w:after="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В 2020 году объем Государственного задания выражается в </w:t>
      </w:r>
      <w:r w:rsidRPr="0000319D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 xml:space="preserve">«Комплексном балле публикационной результативности» </w:t>
      </w:r>
      <w:r w:rsidRPr="005C1DE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(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дал</w:t>
      </w:r>
      <w:r w:rsidRPr="005C1DE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ее 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–</w:t>
      </w:r>
      <w:r w:rsidRPr="005C1DE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r w:rsidRPr="005C1DE7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КПБР</w:t>
      </w:r>
      <w:r w:rsidRPr="000C35E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)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</w:t>
      </w:r>
    </w:p>
    <w:p w:rsidR="000C35E5" w:rsidRDefault="000C35E5" w:rsidP="0006077E">
      <w:pPr>
        <w:spacing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Объем Государственного задания ИБР РАН № 075-01027-20-01 от 26.02.2020 г. составляет </w:t>
      </w:r>
      <w:r w:rsidRPr="000C35E5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267,60 КБПР</w:t>
      </w:r>
      <w:r w:rsidRPr="000C35E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</w:t>
      </w:r>
    </w:p>
    <w:p w:rsidR="000C35E5" w:rsidRPr="002A282F" w:rsidRDefault="002A282F" w:rsidP="00BC439D">
      <w:pPr>
        <w:spacing w:after="80" w:line="240" w:lineRule="auto"/>
        <w:jc w:val="center"/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</w:pPr>
      <w:r w:rsidRPr="002A282F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МЕТОДИКА РАСЧЕТА КОМПЛЕКСНОГО БАЛЛА ПУБЛИКАЦИОННОЙ РЕЗУЛЬТАТИВНОСТИ (КБПР)</w:t>
      </w:r>
      <w:r w:rsidR="000C35E5" w:rsidRPr="002A282F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.</w:t>
      </w:r>
    </w:p>
    <w:p w:rsidR="007E1AEB" w:rsidRDefault="009B14E4" w:rsidP="00BC439D">
      <w:pPr>
        <w:spacing w:after="8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9B14E4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Согласно </w:t>
      </w:r>
      <w:r w:rsidR="005C1DE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Методике, разработанной Минобрнауки России (МН-8/6-СК от 14.01.2020)</w:t>
      </w:r>
      <w:r w:rsidR="007A50C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,</w:t>
      </w:r>
      <w:r w:rsidR="005C1DE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Государственное задание 2020 года подведомственных организаций выражается в </w:t>
      </w:r>
      <w:r w:rsidR="005C1DE7" w:rsidRPr="0000319D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 xml:space="preserve">«Комплексном балле публикационной результативности» </w:t>
      </w:r>
      <w:r w:rsidR="005C1DE7" w:rsidRPr="005C1DE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(</w:t>
      </w:r>
      <w:r w:rsidR="005C1DE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дал</w:t>
      </w:r>
      <w:r w:rsidR="005C1DE7" w:rsidRPr="005C1DE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ее - </w:t>
      </w:r>
      <w:r w:rsidR="005C1DE7" w:rsidRPr="005C1DE7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КПБР</w:t>
      </w:r>
      <w:r w:rsidR="005C1DE7" w:rsidRPr="005C1DE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, </w:t>
      </w:r>
      <w:proofErr w:type="gramStart"/>
      <w:r w:rsidR="005C1DE7" w:rsidRPr="005C1DE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утверждён</w:t>
      </w:r>
      <w:proofErr w:type="gramEnd"/>
      <w:r w:rsidR="005C1DE7" w:rsidRPr="005C1DE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Минобрнауки России 30</w:t>
      </w:r>
      <w:r w:rsidR="005C1DE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.12.</w:t>
      </w:r>
      <w:r w:rsidR="005C1DE7" w:rsidRPr="005C1DE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2019</w:t>
      </w:r>
      <w:r w:rsidR="005C1DE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).</w:t>
      </w:r>
    </w:p>
    <w:p w:rsidR="007A50C5" w:rsidRDefault="007A50C5" w:rsidP="005C1DE7">
      <w:pPr>
        <w:spacing w:after="8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7A50C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Положения Методики обсужд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ены</w:t>
      </w:r>
      <w:r w:rsidRPr="007A50C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с представителями ведущих научных и образовательных организаций, РАН и Профсоюз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ом</w:t>
      </w:r>
      <w:r w:rsidRPr="007A50C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работников РАН в рамках заседаний рабочей группы 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и утверждены Приказом </w:t>
      </w:r>
      <w:r w:rsidRPr="007A50C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Минобрнауки России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№ 613 от 16.08.2019.</w:t>
      </w:r>
    </w:p>
    <w:p w:rsidR="007A50C5" w:rsidRDefault="007A50C5" w:rsidP="005C1DE7">
      <w:pPr>
        <w:spacing w:after="8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7A50C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lastRenderedPageBreak/>
        <w:t>По итогам совместной работы Методика была одобрена рабочей группой, и согласована Российской академией наук (письмо от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30.12.</w:t>
      </w:r>
      <w:r w:rsidRPr="007A50C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2019 г. № 2-10110-5215/1429)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</w:t>
      </w:r>
    </w:p>
    <w:p w:rsidR="007A50C5" w:rsidRDefault="007A50C5" w:rsidP="005C1DE7">
      <w:pPr>
        <w:spacing w:after="8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7A50C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Основной особенностью Методики является использование </w:t>
      </w:r>
      <w:r w:rsidRPr="007A50C5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фракционного счета</w:t>
      </w:r>
      <w:r w:rsidRPr="007A50C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- метода, который разделяет вклад авторов и организаций в научный результат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, а </w:t>
      </w:r>
      <w:r w:rsidRPr="007A50C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также учитывает различные типы публикаций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</w:t>
      </w:r>
    </w:p>
    <w:p w:rsidR="007A50C5" w:rsidRDefault="00BC439D" w:rsidP="005C1DE7">
      <w:pPr>
        <w:spacing w:after="8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>Началь</w:t>
      </w:r>
      <w:r w:rsidR="007A50C5" w:rsidRPr="00882293"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>ной единицей расчета КБПР</w:t>
      </w:r>
      <w:r w:rsidR="007A50C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является </w:t>
      </w:r>
      <w:r w:rsidRPr="00BC439D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итоговая</w:t>
      </w:r>
      <w:r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 xml:space="preserve"> </w:t>
      </w:r>
      <w:r w:rsidR="007A50C5" w:rsidRPr="0000319D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запись каждого автора публикации</w:t>
      </w:r>
      <w:r w:rsidR="007A50C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с учетом применяемой шкалы количественного выражения для разных типов публикаций.</w:t>
      </w:r>
    </w:p>
    <w:p w:rsidR="007A50C5" w:rsidRPr="007A50C5" w:rsidRDefault="007A50C5" w:rsidP="00BC439D">
      <w:pPr>
        <w:spacing w:after="80" w:line="240" w:lineRule="auto"/>
        <w:jc w:val="center"/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</w:pPr>
      <w:r w:rsidRPr="007A50C5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Шкала количественного выражения в баллах для разных типов публикаций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787"/>
        <w:gridCol w:w="787"/>
        <w:gridCol w:w="816"/>
        <w:gridCol w:w="792"/>
        <w:gridCol w:w="792"/>
        <w:gridCol w:w="797"/>
        <w:gridCol w:w="811"/>
        <w:gridCol w:w="821"/>
      </w:tblGrid>
      <w:tr w:rsidR="007A50C5" w:rsidRPr="007A50C5" w:rsidTr="0000319D">
        <w:trPr>
          <w:trHeight w:hRule="exact" w:val="38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C5" w:rsidRPr="000C35E5" w:rsidRDefault="0000319D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ru-RU"/>
              </w:rPr>
            </w:pPr>
            <w:r w:rsidRPr="000C35E5"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en-US"/>
              </w:rPr>
              <w:t>Q1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C5" w:rsidRPr="000C35E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ru-RU"/>
              </w:rPr>
            </w:pPr>
            <w:r w:rsidRPr="000C35E5"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en-US"/>
              </w:rPr>
              <w:t>Q2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C5" w:rsidRPr="000C35E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ru-RU"/>
              </w:rPr>
            </w:pPr>
            <w:r w:rsidRPr="000C35E5"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en-US"/>
              </w:rPr>
              <w:t>Q3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C5" w:rsidRPr="000C35E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ru-RU"/>
              </w:rPr>
            </w:pPr>
            <w:r w:rsidRPr="000C35E5"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en-US"/>
              </w:rPr>
              <w:t>Q4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C5" w:rsidRPr="000C35E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ru-RU"/>
              </w:rPr>
            </w:pPr>
            <w:r w:rsidRPr="000C35E5"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en-US"/>
              </w:rPr>
              <w:t>Q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C5" w:rsidRPr="000C35E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ru-RU"/>
              </w:rPr>
            </w:pPr>
            <w:r w:rsidRPr="000C35E5"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en-US"/>
              </w:rPr>
              <w:t>S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C5" w:rsidRPr="000C35E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ru-RU"/>
              </w:rPr>
            </w:pPr>
            <w:r w:rsidRPr="000C35E5"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en-US"/>
              </w:rPr>
              <w:t>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C5" w:rsidRPr="000C35E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ru-RU"/>
              </w:rPr>
            </w:pPr>
            <w:r w:rsidRPr="000C35E5"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ru-RU"/>
              </w:rPr>
              <w:t>V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0C5" w:rsidRPr="000C35E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ru-RU"/>
              </w:rPr>
            </w:pPr>
            <w:proofErr w:type="gramStart"/>
            <w:r w:rsidRPr="000C35E5">
              <w:rPr>
                <w:rFonts w:eastAsia="Calibri" w:hAnsi="Calibri" w:cs="Times New Roman"/>
                <w:b/>
                <w:bCs/>
                <w:color w:val="FF0000"/>
                <w:kern w:val="24"/>
                <w:sz w:val="26"/>
                <w:szCs w:val="26"/>
                <w:lang w:eastAsia="ru-RU" w:bidi="ru-RU"/>
              </w:rPr>
              <w:t>В</w:t>
            </w:r>
            <w:proofErr w:type="gramEnd"/>
          </w:p>
        </w:tc>
      </w:tr>
      <w:tr w:rsidR="007A50C5" w:rsidRPr="007A50C5" w:rsidTr="0000319D">
        <w:trPr>
          <w:trHeight w:hRule="exact" w:val="41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0C5" w:rsidRPr="007A50C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</w:pPr>
            <w:r w:rsidRPr="007A50C5"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  <w:t>19,7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0C5" w:rsidRPr="007A50C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</w:pPr>
            <w:r w:rsidRPr="007A50C5"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  <w:t>73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0C5" w:rsidRPr="007A50C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</w:pPr>
            <w:r w:rsidRPr="007A50C5"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  <w:t>2,7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0C5" w:rsidRPr="007A50C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</w:pPr>
            <w:r w:rsidRPr="007A50C5">
              <w:rPr>
                <w:rFonts w:eastAsia="Calibri" w:hAnsi="Calibri" w:cs="Times New Roman"/>
                <w:b/>
                <w:bCs/>
                <w:i/>
                <w:iCs/>
                <w:color w:val="333300"/>
                <w:kern w:val="24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0C5" w:rsidRPr="007A50C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</w:pPr>
            <w:r w:rsidRPr="007A50C5"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0C5" w:rsidRPr="007A50C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</w:pPr>
            <w:r w:rsidRPr="007A50C5"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0C5" w:rsidRPr="007A50C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</w:pPr>
            <w:r w:rsidRPr="007A50C5"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  <w:t>0,75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0C5" w:rsidRPr="007A50C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</w:pPr>
            <w:r w:rsidRPr="007A50C5"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  <w:t>0,5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C5" w:rsidRPr="007A50C5" w:rsidRDefault="007A50C5" w:rsidP="007A50C5">
            <w:pPr>
              <w:spacing w:after="80" w:line="240" w:lineRule="auto"/>
              <w:jc w:val="center"/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</w:pPr>
            <w:r w:rsidRPr="007A50C5">
              <w:rPr>
                <w:rFonts w:eastAsia="Calibri" w:hAnsi="Calibri" w:cs="Times New Roman"/>
                <w:b/>
                <w:bCs/>
                <w:color w:val="333300"/>
                <w:kern w:val="24"/>
                <w:sz w:val="26"/>
                <w:szCs w:val="26"/>
                <w:lang w:eastAsia="ru-RU" w:bidi="ru-RU"/>
              </w:rPr>
              <w:t>1</w:t>
            </w:r>
          </w:p>
        </w:tc>
      </w:tr>
    </w:tbl>
    <w:p w:rsidR="0000319D" w:rsidRPr="0000319D" w:rsidRDefault="0000319D" w:rsidP="00BC439D">
      <w:pPr>
        <w:spacing w:before="80" w:after="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0C35E5"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>Q1, Q2, Q3 Q4</w:t>
      </w:r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- публикации в изданиях, индексируемых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Web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of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Science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Core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Collection</w:t>
      </w:r>
      <w:proofErr w:type="spellEnd"/>
      <w:r w:rsidR="000C35E5" w:rsidRPr="00882293">
        <w:rPr>
          <w:rFonts w:eastAsia="Calibri" w:hAnsi="Calibri" w:cs="Times New Roman"/>
          <w:b/>
          <w:bCs/>
          <w:color w:val="000066"/>
          <w:kern w:val="24"/>
          <w:sz w:val="26"/>
          <w:szCs w:val="26"/>
          <w:lang w:eastAsia="ru-RU"/>
        </w:rPr>
        <w:t>*</w:t>
      </w:r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(выбирается максимальный квартиль в случае, если журналу присвоен квартиль по нескольким направлениям),</w:t>
      </w:r>
    </w:p>
    <w:p w:rsidR="0000319D" w:rsidRPr="0000319D" w:rsidRDefault="0000319D" w:rsidP="00BC439D">
      <w:pPr>
        <w:spacing w:after="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0C35E5"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>Q</w:t>
      </w:r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- публикации в изданиях без квартиля, но входящие в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Web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of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Science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Со</w:t>
      </w:r>
      <w:proofErr w:type="gramStart"/>
      <w:r w:rsidR="000C35E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val="en-US" w:eastAsia="ru-RU"/>
        </w:rPr>
        <w:t>r</w:t>
      </w:r>
      <w:proofErr w:type="gram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е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Collection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;</w:t>
      </w:r>
    </w:p>
    <w:p w:rsidR="0000319D" w:rsidRPr="0000319D" w:rsidRDefault="0000319D" w:rsidP="00BC439D">
      <w:pPr>
        <w:spacing w:after="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0C35E5"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>S</w:t>
      </w:r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- публикации в изданиях, индексируемых в Scopus и неиндексируемых в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Web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of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Science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;</w:t>
      </w:r>
    </w:p>
    <w:p w:rsidR="0000319D" w:rsidRPr="0000319D" w:rsidRDefault="0000319D" w:rsidP="00BC439D">
      <w:pPr>
        <w:spacing w:after="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0C35E5"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>R</w:t>
      </w:r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- публикации в журналах из RSCI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Web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of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Science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, неиндексируемых в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Core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Collection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Web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of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Science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и Scopus (</w:t>
      </w:r>
      <w:proofErr w:type="spellStart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no</w:t>
      </w:r>
      <w:proofErr w:type="spellEnd"/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данным РИНЦ);</w:t>
      </w:r>
    </w:p>
    <w:p w:rsidR="005C1DE7" w:rsidRDefault="0000319D" w:rsidP="00BC439D">
      <w:pPr>
        <w:spacing w:after="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0C35E5"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>V</w:t>
      </w:r>
      <w:r w:rsidRPr="000031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- публикации в журналах списка ВАК, не входящих в вышеперечисленные пункты (по данным РИНЦ);</w:t>
      </w:r>
    </w:p>
    <w:p w:rsidR="000C35E5" w:rsidRDefault="000C35E5" w:rsidP="00BC439D">
      <w:pPr>
        <w:spacing w:after="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 w:rsidRPr="000C35E5"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>В</w:t>
      </w:r>
      <w:r w:rsidRPr="000C35E5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- монографии, зарегистрированные в Российской книжной палате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</w:t>
      </w:r>
    </w:p>
    <w:p w:rsidR="00882293" w:rsidRPr="00882293" w:rsidRDefault="00882293" w:rsidP="00BC439D">
      <w:pPr>
        <w:spacing w:after="80" w:line="240" w:lineRule="auto"/>
        <w:jc w:val="both"/>
        <w:rPr>
          <w:rFonts w:eastAsia="Calibri" w:hAnsi="Calibri"/>
          <w:b/>
          <w:color w:val="FF0000"/>
          <w:kern w:val="24"/>
          <w:sz w:val="26"/>
          <w:szCs w:val="26"/>
        </w:rPr>
      </w:pPr>
      <w:r w:rsidRPr="00882293">
        <w:rPr>
          <w:rFonts w:eastAsia="Calibri" w:hAnsi="Calibri"/>
          <w:b/>
          <w:color w:val="000066"/>
          <w:kern w:val="24"/>
          <w:sz w:val="26"/>
          <w:szCs w:val="26"/>
        </w:rPr>
        <w:t xml:space="preserve">*Учитываются следующие типы публикаций - </w:t>
      </w:r>
      <w:proofErr w:type="spellStart"/>
      <w:r w:rsidRPr="00882293">
        <w:rPr>
          <w:rFonts w:eastAsia="Calibri" w:hAnsi="Calibri"/>
          <w:b/>
          <w:color w:val="000066"/>
          <w:kern w:val="24"/>
          <w:sz w:val="26"/>
          <w:szCs w:val="26"/>
        </w:rPr>
        <w:t>Article</w:t>
      </w:r>
      <w:proofErr w:type="spellEnd"/>
      <w:r w:rsidRPr="00882293">
        <w:rPr>
          <w:rFonts w:eastAsia="Calibri" w:hAnsi="Calibri"/>
          <w:b/>
          <w:color w:val="000066"/>
          <w:kern w:val="24"/>
          <w:sz w:val="26"/>
          <w:szCs w:val="26"/>
        </w:rPr>
        <w:t xml:space="preserve">, </w:t>
      </w:r>
      <w:proofErr w:type="spellStart"/>
      <w:r w:rsidRPr="00882293">
        <w:rPr>
          <w:rFonts w:eastAsia="Calibri" w:hAnsi="Calibri"/>
          <w:b/>
          <w:color w:val="000066"/>
          <w:kern w:val="24"/>
          <w:sz w:val="26"/>
          <w:szCs w:val="26"/>
        </w:rPr>
        <w:t>Proceeding</w:t>
      </w:r>
      <w:proofErr w:type="spellEnd"/>
      <w:r w:rsidRPr="00882293">
        <w:rPr>
          <w:rFonts w:eastAsia="Calibri" w:hAnsi="Calibri"/>
          <w:b/>
          <w:color w:val="000066"/>
          <w:kern w:val="24"/>
          <w:sz w:val="26"/>
          <w:szCs w:val="26"/>
        </w:rPr>
        <w:t xml:space="preserve"> </w:t>
      </w:r>
      <w:proofErr w:type="spellStart"/>
      <w:r w:rsidRPr="00882293">
        <w:rPr>
          <w:rFonts w:eastAsia="Calibri" w:hAnsi="Calibri"/>
          <w:b/>
          <w:color w:val="000066"/>
          <w:kern w:val="24"/>
          <w:sz w:val="26"/>
          <w:szCs w:val="26"/>
        </w:rPr>
        <w:t>Paper</w:t>
      </w:r>
      <w:proofErr w:type="spellEnd"/>
      <w:r w:rsidRPr="00882293">
        <w:rPr>
          <w:rFonts w:eastAsia="Calibri" w:hAnsi="Calibri"/>
          <w:b/>
          <w:color w:val="000066"/>
          <w:kern w:val="24"/>
          <w:sz w:val="26"/>
          <w:szCs w:val="26"/>
        </w:rPr>
        <w:t xml:space="preserve">, </w:t>
      </w:r>
      <w:proofErr w:type="spellStart"/>
      <w:r w:rsidRPr="00882293">
        <w:rPr>
          <w:rFonts w:eastAsia="Calibri" w:hAnsi="Calibri"/>
          <w:b/>
          <w:color w:val="000066"/>
          <w:kern w:val="24"/>
          <w:sz w:val="26"/>
          <w:szCs w:val="26"/>
        </w:rPr>
        <w:t>Review</w:t>
      </w:r>
      <w:proofErr w:type="spellEnd"/>
      <w:r w:rsidRPr="00882293">
        <w:rPr>
          <w:rFonts w:eastAsia="Calibri" w:hAnsi="Calibri"/>
          <w:b/>
          <w:color w:val="000066"/>
          <w:kern w:val="24"/>
          <w:sz w:val="26"/>
          <w:szCs w:val="26"/>
        </w:rPr>
        <w:t xml:space="preserve"> и </w:t>
      </w:r>
      <w:proofErr w:type="spellStart"/>
      <w:r w:rsidRPr="00882293">
        <w:rPr>
          <w:rFonts w:eastAsia="Calibri" w:hAnsi="Calibri"/>
          <w:b/>
          <w:color w:val="000066"/>
          <w:kern w:val="24"/>
          <w:sz w:val="26"/>
          <w:szCs w:val="26"/>
        </w:rPr>
        <w:t>Book</w:t>
      </w:r>
      <w:proofErr w:type="spellEnd"/>
      <w:r w:rsidRPr="00882293">
        <w:rPr>
          <w:rFonts w:eastAsia="Calibri" w:hAnsi="Calibri"/>
          <w:b/>
          <w:color w:val="000066"/>
          <w:kern w:val="24"/>
          <w:sz w:val="26"/>
          <w:szCs w:val="26"/>
        </w:rPr>
        <w:t xml:space="preserve"> </w:t>
      </w:r>
      <w:proofErr w:type="spellStart"/>
      <w:r w:rsidRPr="00882293">
        <w:rPr>
          <w:rFonts w:eastAsia="Calibri" w:hAnsi="Calibri"/>
          <w:b/>
          <w:color w:val="000066"/>
          <w:kern w:val="24"/>
          <w:sz w:val="26"/>
          <w:szCs w:val="26"/>
        </w:rPr>
        <w:t>Chapter</w:t>
      </w:r>
      <w:proofErr w:type="spellEnd"/>
    </w:p>
    <w:p w:rsidR="00882293" w:rsidRPr="00882293" w:rsidRDefault="00331BCB" w:rsidP="00BC439D">
      <w:pPr>
        <w:spacing w:after="0" w:line="240" w:lineRule="auto"/>
        <w:jc w:val="both"/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</w:pPr>
      <w:proofErr w:type="gramStart"/>
      <w:r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val="en-US" w:eastAsia="ru-RU"/>
        </w:rPr>
        <w:t>I</w:t>
      </w:r>
      <w:r w:rsidRPr="00331BCB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 xml:space="preserve">. </w:t>
      </w:r>
      <w:r w:rsidR="00882293" w:rsidRPr="00882293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 xml:space="preserve">Расчет в баллах </w:t>
      </w:r>
      <w:r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 xml:space="preserve">итоговой </w:t>
      </w:r>
      <w:r w:rsidR="00882293" w:rsidRPr="00882293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записи автора в публикации</w:t>
      </w:r>
      <w:r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.</w:t>
      </w:r>
      <w:proofErr w:type="gramEnd"/>
    </w:p>
    <w:p w:rsidR="00882293" w:rsidRPr="00331BCB" w:rsidRDefault="00882293" w:rsidP="00BC439D">
      <w:pPr>
        <w:spacing w:after="80" w:line="240" w:lineRule="auto"/>
        <w:jc w:val="both"/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</w:pP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1) Берется балл публикации согласно представленной шкале</w:t>
      </w:r>
      <w:r w:rsidR="00331BCB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</w:t>
      </w:r>
      <w:r w:rsidR="00BC43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r w:rsidR="00331BCB"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П</w:t>
      </w:r>
      <w:r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ример</w:t>
      </w:r>
      <w:r w:rsidR="00331BCB"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:</w:t>
      </w:r>
      <w:r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 публикация 1 квартиля – 19,7 балла.</w:t>
      </w:r>
    </w:p>
    <w:p w:rsidR="00882293" w:rsidRPr="00331BCB" w:rsidRDefault="00882293" w:rsidP="00BC439D">
      <w:pPr>
        <w:spacing w:after="80" w:line="240" w:lineRule="auto"/>
        <w:jc w:val="both"/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</w:pP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2) Балл публикации делится на общее число </w:t>
      </w:r>
      <w:r w:rsidR="00331BCB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авторов (доля автора в баллах).</w:t>
      </w:r>
      <w:r w:rsidR="00BC43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r w:rsidR="00331BCB"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П</w:t>
      </w:r>
      <w:r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ример</w:t>
      </w:r>
      <w:r w:rsidR="00331BCB"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:</w:t>
      </w:r>
      <w:r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 в публикации 10 авторов. Следовательно, запись каждого из них составляет 1,97 балла.</w:t>
      </w:r>
    </w:p>
    <w:p w:rsidR="00331BCB" w:rsidRDefault="00882293" w:rsidP="00BC439D">
      <w:pPr>
        <w:spacing w:after="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3) При наличии одной </w:t>
      </w:r>
      <w:proofErr w:type="spellStart"/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аффилиации</w:t>
      </w:r>
      <w:proofErr w:type="spellEnd"/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у автора итоговая запись соответствует </w:t>
      </w:r>
      <w:r w:rsidR="00331BCB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его 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доле после деления бала публикации на число авторов. </w:t>
      </w:r>
      <w:r w:rsidR="00331BCB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При наличии двух и более </w:t>
      </w:r>
      <w:proofErr w:type="spellStart"/>
      <w:r w:rsidR="00331BCB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аффилиаций</w:t>
      </w:r>
      <w:proofErr w:type="spellEnd"/>
      <w:r w:rsidR="00331BCB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доля автора в баллах делится на число </w:t>
      </w:r>
      <w:proofErr w:type="spellStart"/>
      <w:r w:rsidR="00331BCB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аффилиаций</w:t>
      </w:r>
      <w:proofErr w:type="spellEnd"/>
      <w:r w:rsidR="00331BCB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</w:t>
      </w:r>
    </w:p>
    <w:p w:rsidR="00882293" w:rsidRPr="00331BCB" w:rsidRDefault="00331BCB" w:rsidP="0000319D">
      <w:pPr>
        <w:spacing w:after="80" w:line="240" w:lineRule="auto"/>
        <w:jc w:val="both"/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</w:pPr>
      <w:r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Пример: у одного из 10-ти авторов публикации 1 квартиля 1 </w:t>
      </w:r>
      <w:proofErr w:type="spellStart"/>
      <w:r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аффилиация</w:t>
      </w:r>
      <w:proofErr w:type="spellEnd"/>
      <w:r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. Его итоговая запись в баллах за публикацию составит 1,97 балла. У другого автора из 10-ти в публикации 1 квартиля стоит 2 </w:t>
      </w:r>
      <w:proofErr w:type="spellStart"/>
      <w:r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аффилиации</w:t>
      </w:r>
      <w:proofErr w:type="spellEnd"/>
      <w:r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. Его итоговая запись в баллах за эту публикацию составит 1,97/2=0,985.</w:t>
      </w:r>
    </w:p>
    <w:p w:rsidR="002A282F" w:rsidRDefault="00331BCB" w:rsidP="00BC439D">
      <w:pPr>
        <w:spacing w:after="0" w:line="240" w:lineRule="auto"/>
        <w:jc w:val="both"/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</w:pPr>
      <w:proofErr w:type="gramStart"/>
      <w:r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val="en-US" w:eastAsia="ru-RU"/>
        </w:rPr>
        <w:t>II</w:t>
      </w:r>
      <w:r w:rsidRPr="00331BCB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 xml:space="preserve">. </w:t>
      </w:r>
      <w:r w:rsidRPr="00882293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 xml:space="preserve">Расчет </w:t>
      </w:r>
      <w:r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КБПР</w:t>
      </w:r>
      <w:r w:rsidRPr="00882293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 xml:space="preserve"> </w:t>
      </w:r>
      <w:r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публикации.</w:t>
      </w:r>
      <w:proofErr w:type="gramEnd"/>
    </w:p>
    <w:p w:rsidR="002A282F" w:rsidRDefault="002A282F" w:rsidP="002A282F">
      <w:pPr>
        <w:spacing w:after="0" w:line="240" w:lineRule="auto"/>
        <w:jc w:val="both"/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</w:pPr>
      <w:r w:rsidRPr="002A282F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КБПР публикации составляет сумму итоговых записей авторов из одной организации. </w:t>
      </w:r>
      <w:r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Пример: </w:t>
      </w:r>
      <w:r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в публикации </w:t>
      </w:r>
      <w:r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1 квартиля из 10-ти </w:t>
      </w:r>
      <w:r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авторов только двое</w:t>
      </w:r>
      <w:r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 </w:t>
      </w:r>
      <w:r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– сотрудники одной организации</w:t>
      </w:r>
      <w:r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. </w:t>
      </w:r>
      <w:r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Тогда КБПР публикации – это сумма итоговых записей этих авторов. У одного при 1 </w:t>
      </w:r>
      <w:proofErr w:type="spellStart"/>
      <w:r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аффилиации</w:t>
      </w:r>
      <w:proofErr w:type="spellEnd"/>
      <w:r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 </w:t>
      </w:r>
      <w:r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1,97 балла</w:t>
      </w:r>
      <w:r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, у другого при 2 </w:t>
      </w:r>
      <w:proofErr w:type="spellStart"/>
      <w:r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аффилиациях</w:t>
      </w:r>
      <w:proofErr w:type="spellEnd"/>
      <w:r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 0,985 балла.</w:t>
      </w:r>
    </w:p>
    <w:p w:rsidR="00331BCB" w:rsidRPr="002A282F" w:rsidRDefault="002A282F" w:rsidP="00331BCB">
      <w:pPr>
        <w:spacing w:after="8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КБПР такой публикации составляет 2,955 балла</w:t>
      </w:r>
      <w:r w:rsidRPr="00331BCB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.</w:t>
      </w:r>
    </w:p>
    <w:p w:rsidR="00331BCB" w:rsidRPr="00882293" w:rsidRDefault="002A282F" w:rsidP="00BC439D">
      <w:pPr>
        <w:spacing w:after="0" w:line="240" w:lineRule="auto"/>
        <w:jc w:val="both"/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</w:pPr>
      <w:proofErr w:type="gramStart"/>
      <w:r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val="en-US" w:eastAsia="ru-RU"/>
        </w:rPr>
        <w:t>I</w:t>
      </w:r>
      <w:r w:rsidR="00331BCB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val="en-US" w:eastAsia="ru-RU"/>
        </w:rPr>
        <w:t>II</w:t>
      </w:r>
      <w:r w:rsidR="00331BCB" w:rsidRPr="00331BCB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 xml:space="preserve">. </w:t>
      </w:r>
      <w:r w:rsidR="00331BCB" w:rsidRPr="00882293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 xml:space="preserve">Расчет </w:t>
      </w:r>
      <w:r w:rsidR="00331BCB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КБПР</w:t>
      </w:r>
      <w:r w:rsidR="00331BCB" w:rsidRPr="00882293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 xml:space="preserve"> </w:t>
      </w:r>
      <w:r w:rsidR="00331BCB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организации</w:t>
      </w:r>
      <w:r w:rsidRPr="002A282F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 xml:space="preserve"> – </w:t>
      </w:r>
      <w:r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объем Государственного задания.</w:t>
      </w:r>
      <w:proofErr w:type="gramEnd"/>
    </w:p>
    <w:p w:rsidR="00331BCB" w:rsidRDefault="002A282F" w:rsidP="001211C0">
      <w:pPr>
        <w:spacing w:after="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КБПР организации за год выполнения Государственного задания – это сумма всех КБПР публикаций </w:t>
      </w:r>
      <w:r w:rsidR="00BC43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по всем разделам </w:t>
      </w:r>
      <w:proofErr w:type="spellStart"/>
      <w:r w:rsidR="00BC43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Госзадания</w:t>
      </w:r>
      <w:proofErr w:type="spellEnd"/>
      <w:r w:rsidR="00BC439D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(Темам НИР)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</w:t>
      </w:r>
    </w:p>
    <w:p w:rsidR="001E6CC9" w:rsidRDefault="001211C0" w:rsidP="001211C0">
      <w:pPr>
        <w:spacing w:after="0" w:line="240" w:lineRule="auto"/>
        <w:jc w:val="both"/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sectPr w:rsidR="001E6CC9" w:rsidSect="001211C0">
          <w:footerReference w:type="default" r:id="rId8"/>
          <w:pgSz w:w="11906" w:h="16838"/>
          <w:pgMar w:top="612" w:right="612" w:bottom="612" w:left="612" w:header="709" w:footer="709" w:gutter="0"/>
          <w:cols w:space="708"/>
          <w:titlePg/>
          <w:docGrid w:linePitch="360"/>
        </w:sectPr>
      </w:pPr>
      <w:r w:rsidRPr="001211C0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В 2020 году </w:t>
      </w:r>
      <w:proofErr w:type="spellStart"/>
      <w:r w:rsidRPr="001211C0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Госзадание</w:t>
      </w:r>
      <w:proofErr w:type="spellEnd"/>
      <w:r w:rsidRPr="001211C0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 ИБР РАН выполняется по 8-ми Темам НИР. Для каждой Темы НИР с учетом всех исполнителей рассчитана доля от общего КБПР ГЗ-2020 года</w:t>
      </w:r>
      <w:r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 267,60</w:t>
      </w:r>
      <w:r w:rsidRPr="001211C0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 xml:space="preserve"> </w:t>
      </w:r>
      <w:r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баллов</w:t>
      </w:r>
      <w:r w:rsidRPr="001211C0">
        <w:rPr>
          <w:rFonts w:eastAsia="Calibri" w:hAnsi="Calibri" w:cs="Times New Roman"/>
          <w:b/>
          <w:bCs/>
          <w:i/>
          <w:color w:val="000066"/>
          <w:kern w:val="24"/>
          <w:sz w:val="26"/>
          <w:szCs w:val="26"/>
          <w:lang w:eastAsia="ru-RU"/>
        </w:rPr>
        <w:t>.</w:t>
      </w:r>
    </w:p>
    <w:p w:rsidR="001211C0" w:rsidRPr="00B73DBB" w:rsidRDefault="001211C0" w:rsidP="001211C0">
      <w:pPr>
        <w:spacing w:after="240" w:line="240" w:lineRule="auto"/>
        <w:jc w:val="center"/>
        <w:rPr>
          <w:rFonts w:cs="Times New Roman"/>
          <w:b/>
          <w:color w:val="0000FF"/>
          <w:sz w:val="24"/>
          <w:szCs w:val="24"/>
        </w:rPr>
      </w:pPr>
      <w:r w:rsidRPr="00B73DBB">
        <w:rPr>
          <w:rFonts w:cs="Times New Roman"/>
          <w:b/>
          <w:color w:val="0000FF"/>
          <w:sz w:val="24"/>
          <w:szCs w:val="24"/>
        </w:rPr>
        <w:lastRenderedPageBreak/>
        <w:t xml:space="preserve">Расчет Комплексного балла публикационной результативности (КБПР) отчетных публикаций Тем НИР ИБР РАН для выполнения </w:t>
      </w:r>
      <w:proofErr w:type="spellStart"/>
      <w:r w:rsidRPr="00B73DBB">
        <w:rPr>
          <w:rFonts w:cs="Times New Roman"/>
          <w:b/>
          <w:color w:val="0000FF"/>
          <w:sz w:val="24"/>
          <w:szCs w:val="24"/>
        </w:rPr>
        <w:t>Госзадания</w:t>
      </w:r>
      <w:proofErr w:type="spellEnd"/>
      <w:r w:rsidRPr="00B73DBB">
        <w:rPr>
          <w:rFonts w:cs="Times New Roman"/>
          <w:b/>
          <w:color w:val="0000FF"/>
          <w:sz w:val="24"/>
          <w:szCs w:val="24"/>
        </w:rPr>
        <w:t xml:space="preserve"> 2020 года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076"/>
        <w:gridCol w:w="1077"/>
        <w:gridCol w:w="1076"/>
        <w:gridCol w:w="1077"/>
        <w:gridCol w:w="1076"/>
        <w:gridCol w:w="1077"/>
        <w:gridCol w:w="1076"/>
        <w:gridCol w:w="1077"/>
      </w:tblGrid>
      <w:tr w:rsidR="001211C0" w:rsidRPr="00B73DBB" w:rsidTr="006367BA">
        <w:trPr>
          <w:jc w:val="center"/>
        </w:trPr>
        <w:tc>
          <w:tcPr>
            <w:tcW w:w="23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Условия расчета</w:t>
            </w:r>
          </w:p>
        </w:tc>
        <w:tc>
          <w:tcPr>
            <w:tcW w:w="10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</w:t>
            </w:r>
            <w:proofErr w:type="gramStart"/>
            <w:r w:rsidRPr="00B73DBB">
              <w:rPr>
                <w:rFonts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77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</w:t>
            </w:r>
            <w:proofErr w:type="gramStart"/>
            <w:r w:rsidRPr="00B73DBB">
              <w:rPr>
                <w:rFonts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Т3</w:t>
            </w:r>
          </w:p>
        </w:tc>
        <w:tc>
          <w:tcPr>
            <w:tcW w:w="1077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</w:t>
            </w:r>
            <w:proofErr w:type="gramStart"/>
            <w:r w:rsidRPr="00B73DBB">
              <w:rPr>
                <w:rFonts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Т5</w:t>
            </w:r>
          </w:p>
        </w:tc>
        <w:tc>
          <w:tcPr>
            <w:tcW w:w="1077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</w:t>
            </w:r>
            <w:proofErr w:type="gramStart"/>
            <w:r w:rsidRPr="00B73DBB">
              <w:rPr>
                <w:rFonts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</w:t>
            </w:r>
            <w:proofErr w:type="gramStart"/>
            <w:r w:rsidRPr="00B73DBB">
              <w:rPr>
                <w:rFonts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77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Т8</w:t>
            </w:r>
          </w:p>
        </w:tc>
      </w:tr>
      <w:tr w:rsidR="001211C0" w:rsidRPr="00B73DBB" w:rsidTr="006367BA">
        <w:trPr>
          <w:jc w:val="center"/>
        </w:trPr>
        <w:tc>
          <w:tcPr>
            <w:tcW w:w="23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B73DBB">
              <w:rPr>
                <w:rFonts w:cs="Times New Roman"/>
                <w:sz w:val="24"/>
                <w:szCs w:val="24"/>
              </w:rPr>
              <w:t>Ст.лаб. – 1</w:t>
            </w:r>
            <w:proofErr w:type="gramEnd"/>
            <w:r w:rsidRPr="00B73DBB">
              <w:rPr>
                <w:rFonts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0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50,25б</w:t>
            </w:r>
          </w:p>
        </w:tc>
        <w:tc>
          <w:tcPr>
            <w:tcW w:w="1077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108,5</w:t>
            </w:r>
          </w:p>
        </w:tc>
        <w:tc>
          <w:tcPr>
            <w:tcW w:w="10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55б</w:t>
            </w:r>
          </w:p>
        </w:tc>
        <w:tc>
          <w:tcPr>
            <w:tcW w:w="1077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96,5б</w:t>
            </w:r>
          </w:p>
        </w:tc>
        <w:tc>
          <w:tcPr>
            <w:tcW w:w="10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45б</w:t>
            </w:r>
          </w:p>
        </w:tc>
        <w:tc>
          <w:tcPr>
            <w:tcW w:w="1077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36,5б</w:t>
            </w:r>
          </w:p>
        </w:tc>
        <w:tc>
          <w:tcPr>
            <w:tcW w:w="10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97,5б</w:t>
            </w:r>
          </w:p>
        </w:tc>
        <w:tc>
          <w:tcPr>
            <w:tcW w:w="1077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30,5б</w:t>
            </w:r>
          </w:p>
        </w:tc>
      </w:tr>
      <w:tr w:rsidR="001211C0" w:rsidRPr="00B73DBB" w:rsidTr="006367BA">
        <w:trPr>
          <w:jc w:val="center"/>
        </w:trPr>
        <w:tc>
          <w:tcPr>
            <w:tcW w:w="23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73DBB">
              <w:rPr>
                <w:rFonts w:cs="Times New Roman"/>
                <w:sz w:val="24"/>
                <w:szCs w:val="24"/>
              </w:rPr>
              <w:t>Инж</w:t>
            </w:r>
            <w:proofErr w:type="spellEnd"/>
            <w:r w:rsidRPr="00B73DBB">
              <w:rPr>
                <w:rFonts w:cs="Times New Roman"/>
                <w:sz w:val="24"/>
                <w:szCs w:val="24"/>
              </w:rPr>
              <w:t>. – 1 балл</w:t>
            </w:r>
          </w:p>
        </w:tc>
        <w:tc>
          <w:tcPr>
            <w:tcW w:w="10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9,668%</w:t>
            </w:r>
          </w:p>
        </w:tc>
        <w:tc>
          <w:tcPr>
            <w:tcW w:w="1077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20,875%</w:t>
            </w:r>
          </w:p>
        </w:tc>
        <w:tc>
          <w:tcPr>
            <w:tcW w:w="10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10,582%</w:t>
            </w:r>
          </w:p>
        </w:tc>
        <w:tc>
          <w:tcPr>
            <w:tcW w:w="1077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18,567%</w:t>
            </w:r>
          </w:p>
        </w:tc>
        <w:tc>
          <w:tcPr>
            <w:tcW w:w="10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8,658%</w:t>
            </w:r>
          </w:p>
        </w:tc>
        <w:tc>
          <w:tcPr>
            <w:tcW w:w="1077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7,023%</w:t>
            </w:r>
          </w:p>
        </w:tc>
        <w:tc>
          <w:tcPr>
            <w:tcW w:w="10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18,759%</w:t>
            </w:r>
          </w:p>
        </w:tc>
        <w:tc>
          <w:tcPr>
            <w:tcW w:w="1077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5,868%</w:t>
            </w:r>
          </w:p>
        </w:tc>
      </w:tr>
      <w:tr w:rsidR="001211C0" w:rsidRPr="00B73DBB" w:rsidTr="006367BA">
        <w:tblPrEx>
          <w:jc w:val="left"/>
        </w:tblPrEx>
        <w:tc>
          <w:tcPr>
            <w:tcW w:w="23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МНС – 2 балла</w:t>
            </w:r>
          </w:p>
        </w:tc>
        <w:tc>
          <w:tcPr>
            <w:tcW w:w="1076" w:type="dxa"/>
            <w:vMerge w:val="restart"/>
            <w:vAlign w:val="center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КБПР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Темы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color w:val="FF0000"/>
                <w:sz w:val="24"/>
                <w:szCs w:val="24"/>
              </w:rPr>
              <w:t>25,872</w:t>
            </w:r>
          </w:p>
        </w:tc>
        <w:tc>
          <w:tcPr>
            <w:tcW w:w="1077" w:type="dxa"/>
            <w:vMerge w:val="restart"/>
            <w:vAlign w:val="center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КБПР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Темы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color w:val="FF0000"/>
                <w:sz w:val="24"/>
                <w:szCs w:val="24"/>
              </w:rPr>
              <w:t>55,862</w:t>
            </w:r>
          </w:p>
        </w:tc>
        <w:tc>
          <w:tcPr>
            <w:tcW w:w="1076" w:type="dxa"/>
            <w:vMerge w:val="restart"/>
            <w:vAlign w:val="center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КБПР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Темы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color w:val="FF0000"/>
                <w:sz w:val="24"/>
                <w:szCs w:val="24"/>
              </w:rPr>
              <w:t>28,317</w:t>
            </w:r>
          </w:p>
        </w:tc>
        <w:tc>
          <w:tcPr>
            <w:tcW w:w="1077" w:type="dxa"/>
            <w:vMerge w:val="restart"/>
            <w:vAlign w:val="center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КБПР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Темы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color w:val="FF0000"/>
                <w:sz w:val="24"/>
                <w:szCs w:val="24"/>
              </w:rPr>
              <w:t>49,685</w:t>
            </w:r>
          </w:p>
        </w:tc>
        <w:tc>
          <w:tcPr>
            <w:tcW w:w="1076" w:type="dxa"/>
            <w:vMerge w:val="restart"/>
            <w:vAlign w:val="center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КБПР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Темы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color w:val="FF0000"/>
                <w:sz w:val="24"/>
                <w:szCs w:val="24"/>
              </w:rPr>
              <w:t>23,169</w:t>
            </w:r>
          </w:p>
        </w:tc>
        <w:tc>
          <w:tcPr>
            <w:tcW w:w="1077" w:type="dxa"/>
            <w:vMerge w:val="restart"/>
            <w:vAlign w:val="center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КБПР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Темы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color w:val="FF0000"/>
                <w:sz w:val="24"/>
                <w:szCs w:val="24"/>
              </w:rPr>
              <w:t>18,793</w:t>
            </w:r>
          </w:p>
        </w:tc>
        <w:tc>
          <w:tcPr>
            <w:tcW w:w="1076" w:type="dxa"/>
            <w:vMerge w:val="restart"/>
            <w:vAlign w:val="center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КБПР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Темы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color w:val="FF0000"/>
                <w:sz w:val="24"/>
                <w:szCs w:val="24"/>
              </w:rPr>
              <w:t>50,199</w:t>
            </w:r>
          </w:p>
        </w:tc>
        <w:tc>
          <w:tcPr>
            <w:tcW w:w="1077" w:type="dxa"/>
            <w:vMerge w:val="restart"/>
            <w:vAlign w:val="center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КБПР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Темы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color w:val="FF0000"/>
                <w:sz w:val="24"/>
                <w:szCs w:val="24"/>
              </w:rPr>
              <w:t>15,703</w:t>
            </w:r>
          </w:p>
        </w:tc>
      </w:tr>
      <w:tr w:rsidR="001211C0" w:rsidRPr="00B73DBB" w:rsidTr="006367BA">
        <w:tblPrEx>
          <w:jc w:val="left"/>
        </w:tblPrEx>
        <w:tc>
          <w:tcPr>
            <w:tcW w:w="23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НС – 3 балла</w:t>
            </w: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11C0" w:rsidRPr="00B73DBB" w:rsidTr="006367BA">
        <w:tblPrEx>
          <w:jc w:val="left"/>
        </w:tblPrEx>
        <w:tc>
          <w:tcPr>
            <w:tcW w:w="23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СНС – 4 балла</w:t>
            </w: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11C0" w:rsidRPr="00B73DBB" w:rsidTr="006367BA">
        <w:tblPrEx>
          <w:jc w:val="left"/>
        </w:tblPrEx>
        <w:tc>
          <w:tcPr>
            <w:tcW w:w="23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ВНС – 5 баллов</w:t>
            </w: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11C0" w:rsidRPr="00B73DBB" w:rsidTr="006367BA">
        <w:tblPrEx>
          <w:jc w:val="left"/>
        </w:tblPrEx>
        <w:tc>
          <w:tcPr>
            <w:tcW w:w="23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ГНС – 6 баллов</w:t>
            </w: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11C0" w:rsidRPr="00B73DBB" w:rsidTr="006367BA">
        <w:tblPrEx>
          <w:jc w:val="left"/>
        </w:tblPrEx>
        <w:tc>
          <w:tcPr>
            <w:tcW w:w="2376" w:type="dxa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B73DBB">
              <w:rPr>
                <w:rFonts w:cs="Times New Roman"/>
                <w:sz w:val="24"/>
                <w:szCs w:val="24"/>
              </w:rPr>
              <w:t>Зав. лаб. – 6 баллов</w:t>
            </w: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211C0" w:rsidRPr="00B73DBB" w:rsidTr="006367BA">
        <w:tblPrEx>
          <w:jc w:val="left"/>
        </w:tblPrEx>
        <w:tc>
          <w:tcPr>
            <w:tcW w:w="2376" w:type="dxa"/>
            <w:vAlign w:val="center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Общая сумма баллов исполнителей всех тем НИР/ Общее значение КБПР на 2020 год</w:t>
            </w:r>
          </w:p>
        </w:tc>
        <w:tc>
          <w:tcPr>
            <w:tcW w:w="8612" w:type="dxa"/>
            <w:gridSpan w:val="8"/>
            <w:vAlign w:val="center"/>
          </w:tcPr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>Всего 8 Тем НИР – все исполнители составляют 519,75 балла (100%)</w:t>
            </w:r>
            <w:r w:rsidR="001E6CC9" w:rsidRPr="00B73DBB">
              <w:rPr>
                <w:rFonts w:cs="Times New Roman"/>
                <w:b/>
                <w:sz w:val="24"/>
                <w:szCs w:val="24"/>
              </w:rPr>
              <w:t xml:space="preserve"> /</w:t>
            </w:r>
          </w:p>
          <w:p w:rsidR="001211C0" w:rsidRPr="00B73DBB" w:rsidRDefault="001211C0" w:rsidP="006367BA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3DBB">
              <w:rPr>
                <w:rFonts w:cs="Times New Roman"/>
                <w:b/>
                <w:sz w:val="24"/>
                <w:szCs w:val="24"/>
              </w:rPr>
              <w:t xml:space="preserve">КБПР на 2020 год по 8-ми Темам НИР - </w:t>
            </w:r>
            <w:r w:rsidRPr="00B73DBB">
              <w:rPr>
                <w:rFonts w:cs="Times New Roman"/>
                <w:b/>
                <w:color w:val="FF0000"/>
                <w:sz w:val="24"/>
                <w:szCs w:val="24"/>
              </w:rPr>
              <w:t>267,60 балла</w:t>
            </w:r>
          </w:p>
        </w:tc>
      </w:tr>
    </w:tbl>
    <w:p w:rsidR="00B73DBB" w:rsidRPr="006F3707" w:rsidRDefault="00B73DBB" w:rsidP="003A3825">
      <w:pPr>
        <w:spacing w:before="120" w:after="0" w:line="240" w:lineRule="auto"/>
        <w:jc w:val="both"/>
        <w:rPr>
          <w:rFonts w:cs="Times New Roman"/>
          <w:b/>
          <w:color w:val="0000FF"/>
          <w:sz w:val="26"/>
          <w:szCs w:val="26"/>
        </w:rPr>
      </w:pPr>
      <w:r w:rsidRPr="006F3707">
        <w:rPr>
          <w:rFonts w:cs="Times New Roman"/>
          <w:b/>
          <w:color w:val="0000FF"/>
          <w:sz w:val="26"/>
          <w:szCs w:val="26"/>
        </w:rPr>
        <w:t>Рекомендации</w:t>
      </w:r>
      <w:r w:rsidR="006F3707" w:rsidRPr="006F3707">
        <w:rPr>
          <w:rFonts w:cs="Times New Roman"/>
          <w:b/>
          <w:color w:val="0000FF"/>
          <w:sz w:val="26"/>
          <w:szCs w:val="26"/>
        </w:rPr>
        <w:t xml:space="preserve"> по выполнению объема ГЗ – достижения КБПР</w:t>
      </w:r>
      <w:r w:rsidRPr="006F3707">
        <w:rPr>
          <w:rFonts w:cs="Times New Roman"/>
          <w:b/>
          <w:color w:val="0000FF"/>
          <w:sz w:val="26"/>
          <w:szCs w:val="26"/>
        </w:rPr>
        <w:t>:</w:t>
      </w:r>
    </w:p>
    <w:p w:rsidR="006F3707" w:rsidRDefault="006F3707" w:rsidP="006F3707">
      <w:pPr>
        <w:spacing w:after="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1) Руководители тем </w:t>
      </w:r>
      <w:r w:rsidR="00BC1481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НИР 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или назначенные ими лица должны провести анализ планируемых к выходу публикаций. Каждую публикацию необходимо рассчитать как сумму итоговых записей каждого автора – сотрудника ИБР РАН с учетом числа </w:t>
      </w:r>
      <w:proofErr w:type="spellStart"/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аффилиаций</w:t>
      </w:r>
      <w:proofErr w:type="spellEnd"/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.</w:t>
      </w:r>
    </w:p>
    <w:p w:rsidR="006F3707" w:rsidRDefault="006F3707" w:rsidP="006F3707">
      <w:pPr>
        <w:spacing w:after="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За методической помощью в расчетах КБПР обращайтесь к начальнику информационно-аналитического отдела ИБР РАН Абрамовой Е.Б. </w:t>
      </w:r>
      <w:hyperlink r:id="rId9" w:history="1">
        <w:r w:rsidRPr="00B7173D">
          <w:rPr>
            <w:rStyle w:val="a4"/>
            <w:rFonts w:eastAsia="Calibri" w:hAnsi="Calibri" w:cs="Times New Roman"/>
            <w:b/>
            <w:bCs/>
            <w:kern w:val="24"/>
            <w:sz w:val="26"/>
            <w:szCs w:val="26"/>
            <w:lang w:eastAsia="ru-RU"/>
          </w:rPr>
          <w:t>ele0806@yandex.ru</w:t>
        </w:r>
      </w:hyperlink>
      <w:r w:rsidR="0010472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, а также используйте 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таблицу с ведущимися расчетами итоговых учетных записей авторов по темам НИР ИБР РАН.</w:t>
      </w:r>
    </w:p>
    <w:p w:rsidR="006F3707" w:rsidRPr="00104727" w:rsidRDefault="006F3707" w:rsidP="00104727">
      <w:pPr>
        <w:spacing w:after="8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u w:val="single"/>
          <w:lang w:eastAsia="ru-RU"/>
        </w:rPr>
      </w:pPr>
      <w:r w:rsidRPr="00104727">
        <w:rPr>
          <w:rFonts w:eastAsia="Calibri" w:hAnsi="Calibri" w:cs="Times New Roman"/>
          <w:b/>
          <w:bCs/>
          <w:color w:val="FF0000"/>
          <w:kern w:val="24"/>
          <w:sz w:val="26"/>
          <w:szCs w:val="26"/>
          <w:u w:val="single"/>
          <w:lang w:eastAsia="ru-RU"/>
        </w:rPr>
        <w:t>Ежемесячно</w:t>
      </w:r>
      <w:r w:rsidRPr="0010472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u w:val="single"/>
          <w:lang w:eastAsia="ru-RU"/>
        </w:rPr>
        <w:t xml:space="preserve"> руководители Тем или ответственные лица совместно с Е.Б. Абрамовой рассчитывают актуализированный КБПР каждой из 8-ми Тем НИР ИБР РАН.</w:t>
      </w:r>
    </w:p>
    <w:p w:rsidR="006F3707" w:rsidRDefault="006F3707" w:rsidP="00104727">
      <w:pPr>
        <w:spacing w:after="8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2) Руководители тем</w:t>
      </w:r>
      <w:r w:rsidR="00BC1481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НИР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, ответственные исполнители разделов и авторы по переписке готовящихся публикаций должны проводить политику, направленную на то, </w:t>
      </w:r>
      <w:r w:rsidRPr="00104727">
        <w:rPr>
          <w:rFonts w:eastAsia="Calibri" w:hAnsi="Calibri" w:cs="Times New Roman"/>
          <w:b/>
          <w:bCs/>
          <w:color w:val="FF0000"/>
          <w:kern w:val="24"/>
          <w:sz w:val="26"/>
          <w:szCs w:val="26"/>
          <w:lang w:eastAsia="ru-RU"/>
        </w:rPr>
        <w:t xml:space="preserve">чтобы в публикациях преобладающее число авторов были сотрудники Института. 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Именно такие публикации приносят </w:t>
      </w:r>
      <w:proofErr w:type="gramStart"/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максимальный</w:t>
      </w:r>
      <w:proofErr w:type="gramEnd"/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КБПР</w:t>
      </w:r>
      <w:r w:rsidR="00104727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и отражают самостоятельность выполнения данной публикации определенной научной организацией.</w:t>
      </w:r>
    </w:p>
    <w:p w:rsidR="00104727" w:rsidRDefault="00104727" w:rsidP="003A3825">
      <w:pPr>
        <w:spacing w:after="120" w:line="240" w:lineRule="auto"/>
        <w:jc w:val="both"/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</w:pP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3) Сотрудники ИБР РАН, имеющие несколько </w:t>
      </w:r>
      <w:proofErr w:type="spellStart"/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аффилиаций</w:t>
      </w:r>
      <w:proofErr w:type="spellEnd"/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, должны планировать свои публикации </w:t>
      </w:r>
      <w:r w:rsidR="00BC1481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относительно числа </w:t>
      </w:r>
      <w:proofErr w:type="spellStart"/>
      <w:r w:rsidR="00BC1481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аффилиаций</w:t>
      </w:r>
      <w:proofErr w:type="spellEnd"/>
      <w:r w:rsidR="00BC1481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и 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по возможности став</w:t>
      </w:r>
      <w:r w:rsidR="00BC1481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ить</w:t>
      </w:r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одну </w:t>
      </w:r>
      <w:proofErr w:type="spellStart"/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аффилиацию</w:t>
      </w:r>
      <w:proofErr w:type="spellEnd"/>
      <w:r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 xml:space="preserve"> </w:t>
      </w:r>
      <w:r w:rsidR="00BC1481">
        <w:rPr>
          <w:rFonts w:eastAsia="Calibri" w:hAnsi="Calibri" w:cs="Times New Roman"/>
          <w:b/>
          <w:bCs/>
          <w:color w:val="333300"/>
          <w:kern w:val="24"/>
          <w:sz w:val="26"/>
          <w:szCs w:val="26"/>
          <w:lang w:eastAsia="ru-RU"/>
        </w:rPr>
        <w:t>ИБР РАН.</w:t>
      </w:r>
    </w:p>
    <w:p w:rsidR="00BC1481" w:rsidRPr="00BC1481" w:rsidRDefault="00BC1481" w:rsidP="006F3707">
      <w:pPr>
        <w:spacing w:after="0" w:line="240" w:lineRule="auto"/>
        <w:jc w:val="both"/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</w:pPr>
      <w:r w:rsidRPr="00BC1481">
        <w:rPr>
          <w:rFonts w:eastAsia="Calibri" w:hAnsi="Calibri" w:cs="Times New Roman"/>
          <w:b/>
          <w:bCs/>
          <w:color w:val="0000FF"/>
          <w:kern w:val="24"/>
          <w:sz w:val="26"/>
          <w:szCs w:val="26"/>
          <w:lang w:eastAsia="ru-RU"/>
        </w:rPr>
        <w:t>Достижение КБПР Государственного задания 2020 года в объеме 267,6 баллов является критерием подтверждения 1 категории ИБР РАН.</w:t>
      </w:r>
    </w:p>
    <w:sectPr w:rsidR="00BC1481" w:rsidRPr="00BC1481" w:rsidSect="001E6CC9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97" w:rsidRDefault="009E6597" w:rsidP="001211C0">
      <w:pPr>
        <w:spacing w:after="0" w:line="240" w:lineRule="auto"/>
      </w:pPr>
      <w:r>
        <w:separator/>
      </w:r>
    </w:p>
  </w:endnote>
  <w:endnote w:type="continuationSeparator" w:id="0">
    <w:p w:rsidR="009E6597" w:rsidRDefault="009E6597" w:rsidP="0012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912491"/>
      <w:docPartObj>
        <w:docPartGallery w:val="Page Numbers (Bottom of Page)"/>
        <w:docPartUnique/>
      </w:docPartObj>
    </w:sdtPr>
    <w:sdtEndPr/>
    <w:sdtContent>
      <w:p w:rsidR="001211C0" w:rsidRDefault="001211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1C7">
          <w:rPr>
            <w:noProof/>
          </w:rPr>
          <w:t>2</w:t>
        </w:r>
        <w:r>
          <w:fldChar w:fldCharType="end"/>
        </w:r>
      </w:p>
    </w:sdtContent>
  </w:sdt>
  <w:p w:rsidR="001211C0" w:rsidRDefault="001211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97" w:rsidRDefault="009E6597" w:rsidP="001211C0">
      <w:pPr>
        <w:spacing w:after="0" w:line="240" w:lineRule="auto"/>
      </w:pPr>
      <w:r>
        <w:separator/>
      </w:r>
    </w:p>
  </w:footnote>
  <w:footnote w:type="continuationSeparator" w:id="0">
    <w:p w:rsidR="009E6597" w:rsidRDefault="009E6597" w:rsidP="00121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83"/>
    <w:rsid w:val="000008B7"/>
    <w:rsid w:val="000011FA"/>
    <w:rsid w:val="0000319D"/>
    <w:rsid w:val="000068FD"/>
    <w:rsid w:val="00010FF0"/>
    <w:rsid w:val="00011893"/>
    <w:rsid w:val="00011ACE"/>
    <w:rsid w:val="000141D9"/>
    <w:rsid w:val="000156A9"/>
    <w:rsid w:val="000166DA"/>
    <w:rsid w:val="00016B82"/>
    <w:rsid w:val="00016E0E"/>
    <w:rsid w:val="00022E25"/>
    <w:rsid w:val="0002376F"/>
    <w:rsid w:val="00023B57"/>
    <w:rsid w:val="0002414A"/>
    <w:rsid w:val="00031814"/>
    <w:rsid w:val="0003488D"/>
    <w:rsid w:val="0003488F"/>
    <w:rsid w:val="00034D8F"/>
    <w:rsid w:val="00036AC5"/>
    <w:rsid w:val="00036D8B"/>
    <w:rsid w:val="00042347"/>
    <w:rsid w:val="00044575"/>
    <w:rsid w:val="000469B7"/>
    <w:rsid w:val="00050DC5"/>
    <w:rsid w:val="000510BB"/>
    <w:rsid w:val="00052B02"/>
    <w:rsid w:val="00052DA8"/>
    <w:rsid w:val="00055ACA"/>
    <w:rsid w:val="0006077E"/>
    <w:rsid w:val="00062849"/>
    <w:rsid w:val="00063B37"/>
    <w:rsid w:val="00064214"/>
    <w:rsid w:val="000645E4"/>
    <w:rsid w:val="00065182"/>
    <w:rsid w:val="000659E6"/>
    <w:rsid w:val="000670BA"/>
    <w:rsid w:val="00067C2B"/>
    <w:rsid w:val="00067CF2"/>
    <w:rsid w:val="00067F17"/>
    <w:rsid w:val="000700DA"/>
    <w:rsid w:val="000707BD"/>
    <w:rsid w:val="00071F49"/>
    <w:rsid w:val="0007234D"/>
    <w:rsid w:val="00073768"/>
    <w:rsid w:val="00073D01"/>
    <w:rsid w:val="000741AC"/>
    <w:rsid w:val="00075277"/>
    <w:rsid w:val="00075B2E"/>
    <w:rsid w:val="00076A0B"/>
    <w:rsid w:val="0007716C"/>
    <w:rsid w:val="00077291"/>
    <w:rsid w:val="000820EE"/>
    <w:rsid w:val="0008215F"/>
    <w:rsid w:val="000821DD"/>
    <w:rsid w:val="00082D05"/>
    <w:rsid w:val="00082D2A"/>
    <w:rsid w:val="0008362A"/>
    <w:rsid w:val="00083FF0"/>
    <w:rsid w:val="000865C0"/>
    <w:rsid w:val="00086959"/>
    <w:rsid w:val="000876FB"/>
    <w:rsid w:val="00091E58"/>
    <w:rsid w:val="000939B8"/>
    <w:rsid w:val="00096D5E"/>
    <w:rsid w:val="00097CAF"/>
    <w:rsid w:val="000A1556"/>
    <w:rsid w:val="000A31A0"/>
    <w:rsid w:val="000A4088"/>
    <w:rsid w:val="000A517E"/>
    <w:rsid w:val="000A551C"/>
    <w:rsid w:val="000A57EC"/>
    <w:rsid w:val="000A6CAF"/>
    <w:rsid w:val="000B0E6E"/>
    <w:rsid w:val="000B116E"/>
    <w:rsid w:val="000B3297"/>
    <w:rsid w:val="000B5B62"/>
    <w:rsid w:val="000C03FC"/>
    <w:rsid w:val="000C0F26"/>
    <w:rsid w:val="000C1096"/>
    <w:rsid w:val="000C3008"/>
    <w:rsid w:val="000C35E5"/>
    <w:rsid w:val="000C5844"/>
    <w:rsid w:val="000C6D52"/>
    <w:rsid w:val="000C747A"/>
    <w:rsid w:val="000D0115"/>
    <w:rsid w:val="000D0553"/>
    <w:rsid w:val="000D1CFC"/>
    <w:rsid w:val="000D1F9A"/>
    <w:rsid w:val="000D27BE"/>
    <w:rsid w:val="000D2A67"/>
    <w:rsid w:val="000D42B7"/>
    <w:rsid w:val="000D4FFF"/>
    <w:rsid w:val="000D5028"/>
    <w:rsid w:val="000D5CC4"/>
    <w:rsid w:val="000E0E31"/>
    <w:rsid w:val="000E1731"/>
    <w:rsid w:val="000E1C63"/>
    <w:rsid w:val="000E1F76"/>
    <w:rsid w:val="000E30A3"/>
    <w:rsid w:val="000E30DF"/>
    <w:rsid w:val="000E4A43"/>
    <w:rsid w:val="000E54A7"/>
    <w:rsid w:val="000E649D"/>
    <w:rsid w:val="000E6C56"/>
    <w:rsid w:val="000E76CC"/>
    <w:rsid w:val="000F04DD"/>
    <w:rsid w:val="000F3C49"/>
    <w:rsid w:val="000F3C8C"/>
    <w:rsid w:val="000F60D4"/>
    <w:rsid w:val="000F6117"/>
    <w:rsid w:val="000F62C1"/>
    <w:rsid w:val="00100E6D"/>
    <w:rsid w:val="001020D5"/>
    <w:rsid w:val="0010346C"/>
    <w:rsid w:val="001036F8"/>
    <w:rsid w:val="00104727"/>
    <w:rsid w:val="00104930"/>
    <w:rsid w:val="00106B0C"/>
    <w:rsid w:val="00106E8E"/>
    <w:rsid w:val="0011041F"/>
    <w:rsid w:val="00110F61"/>
    <w:rsid w:val="00111C24"/>
    <w:rsid w:val="00113E3D"/>
    <w:rsid w:val="00113F70"/>
    <w:rsid w:val="001143DF"/>
    <w:rsid w:val="0011453F"/>
    <w:rsid w:val="00115F40"/>
    <w:rsid w:val="001211C0"/>
    <w:rsid w:val="001222CF"/>
    <w:rsid w:val="001227DD"/>
    <w:rsid w:val="00126482"/>
    <w:rsid w:val="001264F8"/>
    <w:rsid w:val="00130A80"/>
    <w:rsid w:val="0013160F"/>
    <w:rsid w:val="00131B2F"/>
    <w:rsid w:val="00131B6A"/>
    <w:rsid w:val="00132092"/>
    <w:rsid w:val="001334B1"/>
    <w:rsid w:val="00135347"/>
    <w:rsid w:val="00135B92"/>
    <w:rsid w:val="00136FC2"/>
    <w:rsid w:val="0014113B"/>
    <w:rsid w:val="00141D59"/>
    <w:rsid w:val="001427E6"/>
    <w:rsid w:val="0014413F"/>
    <w:rsid w:val="00145B6A"/>
    <w:rsid w:val="00146D7B"/>
    <w:rsid w:val="00146D84"/>
    <w:rsid w:val="00147948"/>
    <w:rsid w:val="00151E10"/>
    <w:rsid w:val="001545C8"/>
    <w:rsid w:val="00162C1A"/>
    <w:rsid w:val="001633FB"/>
    <w:rsid w:val="001641C6"/>
    <w:rsid w:val="0016600F"/>
    <w:rsid w:val="00166D9F"/>
    <w:rsid w:val="00166EA2"/>
    <w:rsid w:val="0016745B"/>
    <w:rsid w:val="00170550"/>
    <w:rsid w:val="00170DEE"/>
    <w:rsid w:val="00175F62"/>
    <w:rsid w:val="001767B2"/>
    <w:rsid w:val="00176D0A"/>
    <w:rsid w:val="00176ED3"/>
    <w:rsid w:val="00177B49"/>
    <w:rsid w:val="00180F10"/>
    <w:rsid w:val="00181648"/>
    <w:rsid w:val="00181B2E"/>
    <w:rsid w:val="00182D22"/>
    <w:rsid w:val="00184A4D"/>
    <w:rsid w:val="00184B42"/>
    <w:rsid w:val="00184D46"/>
    <w:rsid w:val="0018538C"/>
    <w:rsid w:val="001864A8"/>
    <w:rsid w:val="0018669D"/>
    <w:rsid w:val="001866DF"/>
    <w:rsid w:val="00187341"/>
    <w:rsid w:val="00193A4C"/>
    <w:rsid w:val="001941AD"/>
    <w:rsid w:val="001952AA"/>
    <w:rsid w:val="001962A7"/>
    <w:rsid w:val="001969DF"/>
    <w:rsid w:val="001A26C4"/>
    <w:rsid w:val="001A3623"/>
    <w:rsid w:val="001A61BA"/>
    <w:rsid w:val="001A6C71"/>
    <w:rsid w:val="001B0CAB"/>
    <w:rsid w:val="001B4C8A"/>
    <w:rsid w:val="001B5343"/>
    <w:rsid w:val="001B6E0D"/>
    <w:rsid w:val="001C1247"/>
    <w:rsid w:val="001C36E3"/>
    <w:rsid w:val="001C7313"/>
    <w:rsid w:val="001D16DA"/>
    <w:rsid w:val="001D331C"/>
    <w:rsid w:val="001D3657"/>
    <w:rsid w:val="001D4255"/>
    <w:rsid w:val="001D5B61"/>
    <w:rsid w:val="001D62D1"/>
    <w:rsid w:val="001D66B0"/>
    <w:rsid w:val="001E3FCC"/>
    <w:rsid w:val="001E4744"/>
    <w:rsid w:val="001E5F6A"/>
    <w:rsid w:val="001E6CC9"/>
    <w:rsid w:val="001F0140"/>
    <w:rsid w:val="001F11FB"/>
    <w:rsid w:val="001F2835"/>
    <w:rsid w:val="001F4A64"/>
    <w:rsid w:val="001F71C7"/>
    <w:rsid w:val="002009AE"/>
    <w:rsid w:val="002045F5"/>
    <w:rsid w:val="002049C9"/>
    <w:rsid w:val="00210B56"/>
    <w:rsid w:val="002114E2"/>
    <w:rsid w:val="002115F3"/>
    <w:rsid w:val="00211DC0"/>
    <w:rsid w:val="00214704"/>
    <w:rsid w:val="00221172"/>
    <w:rsid w:val="002264D9"/>
    <w:rsid w:val="00227A6F"/>
    <w:rsid w:val="00231916"/>
    <w:rsid w:val="002344AD"/>
    <w:rsid w:val="002370FE"/>
    <w:rsid w:val="00237D1B"/>
    <w:rsid w:val="0024138C"/>
    <w:rsid w:val="002429E2"/>
    <w:rsid w:val="00244FD0"/>
    <w:rsid w:val="00245134"/>
    <w:rsid w:val="00251A6B"/>
    <w:rsid w:val="00255920"/>
    <w:rsid w:val="00255BB2"/>
    <w:rsid w:val="0025689A"/>
    <w:rsid w:val="00256B84"/>
    <w:rsid w:val="00260EC4"/>
    <w:rsid w:val="00262330"/>
    <w:rsid w:val="00263BB8"/>
    <w:rsid w:val="00265CA9"/>
    <w:rsid w:val="00266AE9"/>
    <w:rsid w:val="00266C7A"/>
    <w:rsid w:val="00271D6D"/>
    <w:rsid w:val="00272677"/>
    <w:rsid w:val="002733CD"/>
    <w:rsid w:val="00273775"/>
    <w:rsid w:val="00276A66"/>
    <w:rsid w:val="00281554"/>
    <w:rsid w:val="002859B2"/>
    <w:rsid w:val="00285F08"/>
    <w:rsid w:val="00286362"/>
    <w:rsid w:val="002947E2"/>
    <w:rsid w:val="0029569D"/>
    <w:rsid w:val="0029590C"/>
    <w:rsid w:val="0029703A"/>
    <w:rsid w:val="002A0308"/>
    <w:rsid w:val="002A282F"/>
    <w:rsid w:val="002A4BF5"/>
    <w:rsid w:val="002A546B"/>
    <w:rsid w:val="002A7B77"/>
    <w:rsid w:val="002B008D"/>
    <w:rsid w:val="002B0F72"/>
    <w:rsid w:val="002B13E5"/>
    <w:rsid w:val="002B222C"/>
    <w:rsid w:val="002B3622"/>
    <w:rsid w:val="002B4263"/>
    <w:rsid w:val="002B7C9E"/>
    <w:rsid w:val="002C166D"/>
    <w:rsid w:val="002C254F"/>
    <w:rsid w:val="002C34E3"/>
    <w:rsid w:val="002C35BC"/>
    <w:rsid w:val="002C5465"/>
    <w:rsid w:val="002C5714"/>
    <w:rsid w:val="002C75C5"/>
    <w:rsid w:val="002D36F1"/>
    <w:rsid w:val="002D49E3"/>
    <w:rsid w:val="002D6CA8"/>
    <w:rsid w:val="002E1F2F"/>
    <w:rsid w:val="002E1FAC"/>
    <w:rsid w:val="002E283E"/>
    <w:rsid w:val="002E386E"/>
    <w:rsid w:val="002E48D0"/>
    <w:rsid w:val="002E53C0"/>
    <w:rsid w:val="002E77A4"/>
    <w:rsid w:val="002F0059"/>
    <w:rsid w:val="002F0418"/>
    <w:rsid w:val="002F0909"/>
    <w:rsid w:val="002F3C17"/>
    <w:rsid w:val="003007AF"/>
    <w:rsid w:val="00301697"/>
    <w:rsid w:val="003025DD"/>
    <w:rsid w:val="0030383F"/>
    <w:rsid w:val="00304CE8"/>
    <w:rsid w:val="0030642B"/>
    <w:rsid w:val="00306992"/>
    <w:rsid w:val="00306F27"/>
    <w:rsid w:val="00306FDF"/>
    <w:rsid w:val="00307C68"/>
    <w:rsid w:val="003139BE"/>
    <w:rsid w:val="00313EE6"/>
    <w:rsid w:val="003148A3"/>
    <w:rsid w:val="0031566B"/>
    <w:rsid w:val="00316818"/>
    <w:rsid w:val="00320820"/>
    <w:rsid w:val="0032342B"/>
    <w:rsid w:val="003247A0"/>
    <w:rsid w:val="00324E8B"/>
    <w:rsid w:val="00326479"/>
    <w:rsid w:val="003301C6"/>
    <w:rsid w:val="00330892"/>
    <w:rsid w:val="003318FF"/>
    <w:rsid w:val="00331926"/>
    <w:rsid w:val="00331BCB"/>
    <w:rsid w:val="00332325"/>
    <w:rsid w:val="0033347A"/>
    <w:rsid w:val="00334545"/>
    <w:rsid w:val="00334BCF"/>
    <w:rsid w:val="00334F7F"/>
    <w:rsid w:val="003351D6"/>
    <w:rsid w:val="00340813"/>
    <w:rsid w:val="00341879"/>
    <w:rsid w:val="00341D42"/>
    <w:rsid w:val="0034331B"/>
    <w:rsid w:val="00343975"/>
    <w:rsid w:val="00343D50"/>
    <w:rsid w:val="003446FE"/>
    <w:rsid w:val="00344E7C"/>
    <w:rsid w:val="003452F3"/>
    <w:rsid w:val="00346A7C"/>
    <w:rsid w:val="00346BD6"/>
    <w:rsid w:val="00347741"/>
    <w:rsid w:val="003509D3"/>
    <w:rsid w:val="003517D7"/>
    <w:rsid w:val="003527D6"/>
    <w:rsid w:val="00354CF8"/>
    <w:rsid w:val="00357EFD"/>
    <w:rsid w:val="003605F5"/>
    <w:rsid w:val="00361BC4"/>
    <w:rsid w:val="00361D8C"/>
    <w:rsid w:val="003623DF"/>
    <w:rsid w:val="003636DB"/>
    <w:rsid w:val="0037114C"/>
    <w:rsid w:val="00372561"/>
    <w:rsid w:val="003730BE"/>
    <w:rsid w:val="00373D60"/>
    <w:rsid w:val="00374B25"/>
    <w:rsid w:val="00376BAE"/>
    <w:rsid w:val="00377458"/>
    <w:rsid w:val="00377944"/>
    <w:rsid w:val="00380D63"/>
    <w:rsid w:val="00381A4F"/>
    <w:rsid w:val="00387636"/>
    <w:rsid w:val="00393802"/>
    <w:rsid w:val="00393ACC"/>
    <w:rsid w:val="00397769"/>
    <w:rsid w:val="00397F16"/>
    <w:rsid w:val="003A0DB6"/>
    <w:rsid w:val="003A11ED"/>
    <w:rsid w:val="003A14D0"/>
    <w:rsid w:val="003A21B2"/>
    <w:rsid w:val="003A23B8"/>
    <w:rsid w:val="003A28DB"/>
    <w:rsid w:val="003A3825"/>
    <w:rsid w:val="003A4FEA"/>
    <w:rsid w:val="003B0182"/>
    <w:rsid w:val="003B0E5A"/>
    <w:rsid w:val="003B437C"/>
    <w:rsid w:val="003B4F8A"/>
    <w:rsid w:val="003B535C"/>
    <w:rsid w:val="003B57E9"/>
    <w:rsid w:val="003B5881"/>
    <w:rsid w:val="003B58C0"/>
    <w:rsid w:val="003B59EF"/>
    <w:rsid w:val="003B6621"/>
    <w:rsid w:val="003B6901"/>
    <w:rsid w:val="003C1DB4"/>
    <w:rsid w:val="003C1F35"/>
    <w:rsid w:val="003C2176"/>
    <w:rsid w:val="003C3418"/>
    <w:rsid w:val="003C3D48"/>
    <w:rsid w:val="003C52C3"/>
    <w:rsid w:val="003C5BD9"/>
    <w:rsid w:val="003C5F09"/>
    <w:rsid w:val="003C5F5A"/>
    <w:rsid w:val="003D1668"/>
    <w:rsid w:val="003D1E24"/>
    <w:rsid w:val="003D4F2A"/>
    <w:rsid w:val="003D4F48"/>
    <w:rsid w:val="003E0BE8"/>
    <w:rsid w:val="003E44FD"/>
    <w:rsid w:val="003E6770"/>
    <w:rsid w:val="003E746F"/>
    <w:rsid w:val="003F1BD6"/>
    <w:rsid w:val="003F28EC"/>
    <w:rsid w:val="003F2949"/>
    <w:rsid w:val="003F2F13"/>
    <w:rsid w:val="003F4A4A"/>
    <w:rsid w:val="003F6D00"/>
    <w:rsid w:val="003F72BB"/>
    <w:rsid w:val="00403663"/>
    <w:rsid w:val="00407928"/>
    <w:rsid w:val="00407F57"/>
    <w:rsid w:val="00410482"/>
    <w:rsid w:val="00410BF1"/>
    <w:rsid w:val="004137FF"/>
    <w:rsid w:val="00413F73"/>
    <w:rsid w:val="00417FB0"/>
    <w:rsid w:val="0042105A"/>
    <w:rsid w:val="004230DD"/>
    <w:rsid w:val="004317BE"/>
    <w:rsid w:val="00432555"/>
    <w:rsid w:val="00433DD8"/>
    <w:rsid w:val="0043437A"/>
    <w:rsid w:val="0043683C"/>
    <w:rsid w:val="004369C8"/>
    <w:rsid w:val="0043735E"/>
    <w:rsid w:val="004373AC"/>
    <w:rsid w:val="0044030E"/>
    <w:rsid w:val="00440C75"/>
    <w:rsid w:val="00441035"/>
    <w:rsid w:val="00442257"/>
    <w:rsid w:val="0044263B"/>
    <w:rsid w:val="004511EC"/>
    <w:rsid w:val="00455CBF"/>
    <w:rsid w:val="00460384"/>
    <w:rsid w:val="00461D64"/>
    <w:rsid w:val="004635CE"/>
    <w:rsid w:val="00463F4E"/>
    <w:rsid w:val="004640E2"/>
    <w:rsid w:val="00464866"/>
    <w:rsid w:val="004679E7"/>
    <w:rsid w:val="00471A72"/>
    <w:rsid w:val="00472EB0"/>
    <w:rsid w:val="004740E8"/>
    <w:rsid w:val="00475D83"/>
    <w:rsid w:val="00480253"/>
    <w:rsid w:val="004842EC"/>
    <w:rsid w:val="004865B1"/>
    <w:rsid w:val="00490685"/>
    <w:rsid w:val="004908DF"/>
    <w:rsid w:val="004924B7"/>
    <w:rsid w:val="004932EC"/>
    <w:rsid w:val="00494B07"/>
    <w:rsid w:val="004A6014"/>
    <w:rsid w:val="004A783D"/>
    <w:rsid w:val="004A79DE"/>
    <w:rsid w:val="004B0E49"/>
    <w:rsid w:val="004B3AC2"/>
    <w:rsid w:val="004B3C04"/>
    <w:rsid w:val="004B3D74"/>
    <w:rsid w:val="004B58CC"/>
    <w:rsid w:val="004B721A"/>
    <w:rsid w:val="004B73B7"/>
    <w:rsid w:val="004B7935"/>
    <w:rsid w:val="004C1E99"/>
    <w:rsid w:val="004C3FC3"/>
    <w:rsid w:val="004C4B2F"/>
    <w:rsid w:val="004C5A41"/>
    <w:rsid w:val="004C5E67"/>
    <w:rsid w:val="004C66E0"/>
    <w:rsid w:val="004D16FC"/>
    <w:rsid w:val="004D27A1"/>
    <w:rsid w:val="004D5F7E"/>
    <w:rsid w:val="004E0D96"/>
    <w:rsid w:val="004E3116"/>
    <w:rsid w:val="004E55F0"/>
    <w:rsid w:val="004E6AC4"/>
    <w:rsid w:val="004F0096"/>
    <w:rsid w:val="004F0DFB"/>
    <w:rsid w:val="004F2C8C"/>
    <w:rsid w:val="004F3295"/>
    <w:rsid w:val="004F537E"/>
    <w:rsid w:val="0050164E"/>
    <w:rsid w:val="00507B3D"/>
    <w:rsid w:val="00507B88"/>
    <w:rsid w:val="00510B0E"/>
    <w:rsid w:val="00511F2E"/>
    <w:rsid w:val="00512318"/>
    <w:rsid w:val="00513B64"/>
    <w:rsid w:val="0051462F"/>
    <w:rsid w:val="00514D82"/>
    <w:rsid w:val="0051577F"/>
    <w:rsid w:val="00517F40"/>
    <w:rsid w:val="005215D6"/>
    <w:rsid w:val="005235E7"/>
    <w:rsid w:val="0052607F"/>
    <w:rsid w:val="005278E4"/>
    <w:rsid w:val="005320A2"/>
    <w:rsid w:val="00532167"/>
    <w:rsid w:val="005327A2"/>
    <w:rsid w:val="00533073"/>
    <w:rsid w:val="005332BB"/>
    <w:rsid w:val="005345F7"/>
    <w:rsid w:val="00536043"/>
    <w:rsid w:val="00536290"/>
    <w:rsid w:val="00536DE1"/>
    <w:rsid w:val="00537143"/>
    <w:rsid w:val="00537E52"/>
    <w:rsid w:val="005413DC"/>
    <w:rsid w:val="005428DF"/>
    <w:rsid w:val="00545902"/>
    <w:rsid w:val="005517B3"/>
    <w:rsid w:val="00551E57"/>
    <w:rsid w:val="0055297B"/>
    <w:rsid w:val="00552C32"/>
    <w:rsid w:val="00553210"/>
    <w:rsid w:val="00554762"/>
    <w:rsid w:val="0055626C"/>
    <w:rsid w:val="00557FC0"/>
    <w:rsid w:val="00562487"/>
    <w:rsid w:val="00567170"/>
    <w:rsid w:val="0056731F"/>
    <w:rsid w:val="005703A0"/>
    <w:rsid w:val="00573B7C"/>
    <w:rsid w:val="00574223"/>
    <w:rsid w:val="00574B8B"/>
    <w:rsid w:val="005753B3"/>
    <w:rsid w:val="00581A2D"/>
    <w:rsid w:val="00583858"/>
    <w:rsid w:val="00585009"/>
    <w:rsid w:val="0058591C"/>
    <w:rsid w:val="00586649"/>
    <w:rsid w:val="005903E2"/>
    <w:rsid w:val="00590B9F"/>
    <w:rsid w:val="0059116E"/>
    <w:rsid w:val="0059146D"/>
    <w:rsid w:val="00592035"/>
    <w:rsid w:val="0059271E"/>
    <w:rsid w:val="00592993"/>
    <w:rsid w:val="00593277"/>
    <w:rsid w:val="00593E12"/>
    <w:rsid w:val="00595728"/>
    <w:rsid w:val="005962DF"/>
    <w:rsid w:val="005A017A"/>
    <w:rsid w:val="005A0342"/>
    <w:rsid w:val="005A3C58"/>
    <w:rsid w:val="005A4030"/>
    <w:rsid w:val="005A507F"/>
    <w:rsid w:val="005A55CD"/>
    <w:rsid w:val="005A59DF"/>
    <w:rsid w:val="005A5C07"/>
    <w:rsid w:val="005A67CD"/>
    <w:rsid w:val="005A731E"/>
    <w:rsid w:val="005B187F"/>
    <w:rsid w:val="005B2286"/>
    <w:rsid w:val="005B2FDB"/>
    <w:rsid w:val="005C1DE7"/>
    <w:rsid w:val="005C2FDA"/>
    <w:rsid w:val="005C3A4C"/>
    <w:rsid w:val="005C6A22"/>
    <w:rsid w:val="005C7457"/>
    <w:rsid w:val="005D1A41"/>
    <w:rsid w:val="005D1F83"/>
    <w:rsid w:val="005D2485"/>
    <w:rsid w:val="005D3D25"/>
    <w:rsid w:val="005D48F5"/>
    <w:rsid w:val="005D57BE"/>
    <w:rsid w:val="005D6B81"/>
    <w:rsid w:val="005D6DC0"/>
    <w:rsid w:val="005D7C1C"/>
    <w:rsid w:val="005E0197"/>
    <w:rsid w:val="005E453E"/>
    <w:rsid w:val="005E556D"/>
    <w:rsid w:val="005E6C93"/>
    <w:rsid w:val="005E7CAB"/>
    <w:rsid w:val="005E7FF3"/>
    <w:rsid w:val="005F0432"/>
    <w:rsid w:val="005F5480"/>
    <w:rsid w:val="005F62FC"/>
    <w:rsid w:val="005F63CE"/>
    <w:rsid w:val="0060524B"/>
    <w:rsid w:val="00605F54"/>
    <w:rsid w:val="006060CB"/>
    <w:rsid w:val="00610034"/>
    <w:rsid w:val="00610508"/>
    <w:rsid w:val="006121AC"/>
    <w:rsid w:val="006166AC"/>
    <w:rsid w:val="00620D21"/>
    <w:rsid w:val="00620EA1"/>
    <w:rsid w:val="00624EB2"/>
    <w:rsid w:val="00624F2E"/>
    <w:rsid w:val="00625A88"/>
    <w:rsid w:val="006268FB"/>
    <w:rsid w:val="006302D2"/>
    <w:rsid w:val="006341ED"/>
    <w:rsid w:val="0063431D"/>
    <w:rsid w:val="00635333"/>
    <w:rsid w:val="00643958"/>
    <w:rsid w:val="00643D45"/>
    <w:rsid w:val="006445F9"/>
    <w:rsid w:val="00644828"/>
    <w:rsid w:val="0064779A"/>
    <w:rsid w:val="00647C37"/>
    <w:rsid w:val="0065065D"/>
    <w:rsid w:val="006522B0"/>
    <w:rsid w:val="00652E1C"/>
    <w:rsid w:val="006535A2"/>
    <w:rsid w:val="0065458B"/>
    <w:rsid w:val="0065769A"/>
    <w:rsid w:val="00660A70"/>
    <w:rsid w:val="00663083"/>
    <w:rsid w:val="00665AB6"/>
    <w:rsid w:val="00665BF8"/>
    <w:rsid w:val="00666F41"/>
    <w:rsid w:val="006755F1"/>
    <w:rsid w:val="00675A7D"/>
    <w:rsid w:val="00676764"/>
    <w:rsid w:val="00677E0D"/>
    <w:rsid w:val="006825FE"/>
    <w:rsid w:val="006853C7"/>
    <w:rsid w:val="00687A0D"/>
    <w:rsid w:val="00687CE1"/>
    <w:rsid w:val="006952FF"/>
    <w:rsid w:val="00696948"/>
    <w:rsid w:val="006969B9"/>
    <w:rsid w:val="006A0BF3"/>
    <w:rsid w:val="006A1F84"/>
    <w:rsid w:val="006A20E6"/>
    <w:rsid w:val="006A451C"/>
    <w:rsid w:val="006A5ABB"/>
    <w:rsid w:val="006B208A"/>
    <w:rsid w:val="006B2AC7"/>
    <w:rsid w:val="006B59A8"/>
    <w:rsid w:val="006B6087"/>
    <w:rsid w:val="006B76B6"/>
    <w:rsid w:val="006B7FE7"/>
    <w:rsid w:val="006C0914"/>
    <w:rsid w:val="006C2735"/>
    <w:rsid w:val="006C2844"/>
    <w:rsid w:val="006C7176"/>
    <w:rsid w:val="006C7444"/>
    <w:rsid w:val="006D017B"/>
    <w:rsid w:val="006D2796"/>
    <w:rsid w:val="006D47E1"/>
    <w:rsid w:val="006D555C"/>
    <w:rsid w:val="006D6911"/>
    <w:rsid w:val="006E0EA0"/>
    <w:rsid w:val="006E3488"/>
    <w:rsid w:val="006E4DA2"/>
    <w:rsid w:val="006E6145"/>
    <w:rsid w:val="006E713E"/>
    <w:rsid w:val="006E7B6E"/>
    <w:rsid w:val="006F1630"/>
    <w:rsid w:val="006F1EA0"/>
    <w:rsid w:val="006F1F9B"/>
    <w:rsid w:val="006F3707"/>
    <w:rsid w:val="006F591B"/>
    <w:rsid w:val="006F64DC"/>
    <w:rsid w:val="0070488F"/>
    <w:rsid w:val="00710F0A"/>
    <w:rsid w:val="00711983"/>
    <w:rsid w:val="00711C43"/>
    <w:rsid w:val="00713A19"/>
    <w:rsid w:val="007140D8"/>
    <w:rsid w:val="00715587"/>
    <w:rsid w:val="00721708"/>
    <w:rsid w:val="00721863"/>
    <w:rsid w:val="00722421"/>
    <w:rsid w:val="00726314"/>
    <w:rsid w:val="00726716"/>
    <w:rsid w:val="0072768D"/>
    <w:rsid w:val="007349E9"/>
    <w:rsid w:val="00735883"/>
    <w:rsid w:val="00741A75"/>
    <w:rsid w:val="007458C3"/>
    <w:rsid w:val="00746362"/>
    <w:rsid w:val="0074707F"/>
    <w:rsid w:val="00747233"/>
    <w:rsid w:val="00747B20"/>
    <w:rsid w:val="00750947"/>
    <w:rsid w:val="00750EC4"/>
    <w:rsid w:val="00751201"/>
    <w:rsid w:val="007531F2"/>
    <w:rsid w:val="007536F6"/>
    <w:rsid w:val="0075419F"/>
    <w:rsid w:val="00754F11"/>
    <w:rsid w:val="00755CCB"/>
    <w:rsid w:val="00755DAE"/>
    <w:rsid w:val="00757CA4"/>
    <w:rsid w:val="00760EC9"/>
    <w:rsid w:val="0076319F"/>
    <w:rsid w:val="007644B4"/>
    <w:rsid w:val="00764C9C"/>
    <w:rsid w:val="00765028"/>
    <w:rsid w:val="00770B14"/>
    <w:rsid w:val="007720C6"/>
    <w:rsid w:val="007739F1"/>
    <w:rsid w:val="00775067"/>
    <w:rsid w:val="00776F2E"/>
    <w:rsid w:val="00782500"/>
    <w:rsid w:val="007850B0"/>
    <w:rsid w:val="00790016"/>
    <w:rsid w:val="00792738"/>
    <w:rsid w:val="00793A57"/>
    <w:rsid w:val="007952C2"/>
    <w:rsid w:val="00795620"/>
    <w:rsid w:val="007968F3"/>
    <w:rsid w:val="007A3BBA"/>
    <w:rsid w:val="007A3BC7"/>
    <w:rsid w:val="007A486E"/>
    <w:rsid w:val="007A4D1A"/>
    <w:rsid w:val="007A50C5"/>
    <w:rsid w:val="007A528C"/>
    <w:rsid w:val="007A6B42"/>
    <w:rsid w:val="007A7A86"/>
    <w:rsid w:val="007B0B77"/>
    <w:rsid w:val="007B1B3D"/>
    <w:rsid w:val="007B2921"/>
    <w:rsid w:val="007B3B7B"/>
    <w:rsid w:val="007B3E9F"/>
    <w:rsid w:val="007B460F"/>
    <w:rsid w:val="007B7623"/>
    <w:rsid w:val="007C171E"/>
    <w:rsid w:val="007C2922"/>
    <w:rsid w:val="007C67E9"/>
    <w:rsid w:val="007C7618"/>
    <w:rsid w:val="007C7BF1"/>
    <w:rsid w:val="007D28B5"/>
    <w:rsid w:val="007D41CD"/>
    <w:rsid w:val="007D5654"/>
    <w:rsid w:val="007D67EE"/>
    <w:rsid w:val="007D6B4F"/>
    <w:rsid w:val="007D6BB0"/>
    <w:rsid w:val="007E0343"/>
    <w:rsid w:val="007E1AEB"/>
    <w:rsid w:val="007E24CF"/>
    <w:rsid w:val="007E4802"/>
    <w:rsid w:val="007E556A"/>
    <w:rsid w:val="007E6092"/>
    <w:rsid w:val="007E7445"/>
    <w:rsid w:val="007E7AF7"/>
    <w:rsid w:val="007F16C8"/>
    <w:rsid w:val="007F373A"/>
    <w:rsid w:val="007F7431"/>
    <w:rsid w:val="007F7994"/>
    <w:rsid w:val="00800465"/>
    <w:rsid w:val="00800EBC"/>
    <w:rsid w:val="0080232B"/>
    <w:rsid w:val="00803D45"/>
    <w:rsid w:val="00803F85"/>
    <w:rsid w:val="00804451"/>
    <w:rsid w:val="008051CD"/>
    <w:rsid w:val="00805259"/>
    <w:rsid w:val="00805FB2"/>
    <w:rsid w:val="0080628E"/>
    <w:rsid w:val="00810591"/>
    <w:rsid w:val="00810A7F"/>
    <w:rsid w:val="0081701E"/>
    <w:rsid w:val="008205BC"/>
    <w:rsid w:val="0082282B"/>
    <w:rsid w:val="00823956"/>
    <w:rsid w:val="00825162"/>
    <w:rsid w:val="00827EAB"/>
    <w:rsid w:val="00830893"/>
    <w:rsid w:val="008312FD"/>
    <w:rsid w:val="008324DE"/>
    <w:rsid w:val="008335C7"/>
    <w:rsid w:val="00834124"/>
    <w:rsid w:val="0083727E"/>
    <w:rsid w:val="008439E2"/>
    <w:rsid w:val="00844558"/>
    <w:rsid w:val="008453D7"/>
    <w:rsid w:val="008471D5"/>
    <w:rsid w:val="00847EF1"/>
    <w:rsid w:val="00852FC5"/>
    <w:rsid w:val="00853777"/>
    <w:rsid w:val="00854EE9"/>
    <w:rsid w:val="008563E0"/>
    <w:rsid w:val="00857026"/>
    <w:rsid w:val="00857917"/>
    <w:rsid w:val="00861B95"/>
    <w:rsid w:val="00862BAD"/>
    <w:rsid w:val="00864910"/>
    <w:rsid w:val="00864DBC"/>
    <w:rsid w:val="008656B7"/>
    <w:rsid w:val="00865A2B"/>
    <w:rsid w:val="00871216"/>
    <w:rsid w:val="00871A04"/>
    <w:rsid w:val="0087380C"/>
    <w:rsid w:val="00877D67"/>
    <w:rsid w:val="00881DBC"/>
    <w:rsid w:val="00882293"/>
    <w:rsid w:val="00883F2B"/>
    <w:rsid w:val="008855D2"/>
    <w:rsid w:val="00886216"/>
    <w:rsid w:val="0088712D"/>
    <w:rsid w:val="00887B2B"/>
    <w:rsid w:val="00887E90"/>
    <w:rsid w:val="00892127"/>
    <w:rsid w:val="008922C1"/>
    <w:rsid w:val="00892978"/>
    <w:rsid w:val="00894838"/>
    <w:rsid w:val="008955C5"/>
    <w:rsid w:val="00895F46"/>
    <w:rsid w:val="00896A1F"/>
    <w:rsid w:val="008A048C"/>
    <w:rsid w:val="008A04CB"/>
    <w:rsid w:val="008A0B69"/>
    <w:rsid w:val="008A169F"/>
    <w:rsid w:val="008A1EF4"/>
    <w:rsid w:val="008A383E"/>
    <w:rsid w:val="008A45E0"/>
    <w:rsid w:val="008B0703"/>
    <w:rsid w:val="008B08A3"/>
    <w:rsid w:val="008B0A1E"/>
    <w:rsid w:val="008B1417"/>
    <w:rsid w:val="008B1A9E"/>
    <w:rsid w:val="008B3211"/>
    <w:rsid w:val="008B4160"/>
    <w:rsid w:val="008C062A"/>
    <w:rsid w:val="008C08DA"/>
    <w:rsid w:val="008C3CF3"/>
    <w:rsid w:val="008D0B6D"/>
    <w:rsid w:val="008D1531"/>
    <w:rsid w:val="008E073B"/>
    <w:rsid w:val="008E0C95"/>
    <w:rsid w:val="008E0CF0"/>
    <w:rsid w:val="008E1D84"/>
    <w:rsid w:val="008E21C9"/>
    <w:rsid w:val="008E4BEE"/>
    <w:rsid w:val="008E725A"/>
    <w:rsid w:val="008E76B6"/>
    <w:rsid w:val="008E76EE"/>
    <w:rsid w:val="008F001F"/>
    <w:rsid w:val="008F4DB1"/>
    <w:rsid w:val="008F5471"/>
    <w:rsid w:val="008F6274"/>
    <w:rsid w:val="009000EC"/>
    <w:rsid w:val="00900C4F"/>
    <w:rsid w:val="00901233"/>
    <w:rsid w:val="0090193A"/>
    <w:rsid w:val="00901C62"/>
    <w:rsid w:val="00902F95"/>
    <w:rsid w:val="0090331E"/>
    <w:rsid w:val="00904B90"/>
    <w:rsid w:val="009054E7"/>
    <w:rsid w:val="00907066"/>
    <w:rsid w:val="009077F4"/>
    <w:rsid w:val="00907831"/>
    <w:rsid w:val="009100D7"/>
    <w:rsid w:val="00910A3E"/>
    <w:rsid w:val="00911469"/>
    <w:rsid w:val="0091251C"/>
    <w:rsid w:val="009141C8"/>
    <w:rsid w:val="00916997"/>
    <w:rsid w:val="009208F2"/>
    <w:rsid w:val="00922597"/>
    <w:rsid w:val="00922DDB"/>
    <w:rsid w:val="0092463A"/>
    <w:rsid w:val="00927ED6"/>
    <w:rsid w:val="00930AD3"/>
    <w:rsid w:val="00931F29"/>
    <w:rsid w:val="009327A4"/>
    <w:rsid w:val="00932BE1"/>
    <w:rsid w:val="0093625D"/>
    <w:rsid w:val="0093659B"/>
    <w:rsid w:val="00937864"/>
    <w:rsid w:val="00941008"/>
    <w:rsid w:val="00941C21"/>
    <w:rsid w:val="0094313B"/>
    <w:rsid w:val="0094358F"/>
    <w:rsid w:val="0094705A"/>
    <w:rsid w:val="009473CA"/>
    <w:rsid w:val="009528C4"/>
    <w:rsid w:val="00953D9D"/>
    <w:rsid w:val="00955789"/>
    <w:rsid w:val="009576A2"/>
    <w:rsid w:val="009576AB"/>
    <w:rsid w:val="009629CA"/>
    <w:rsid w:val="0096351E"/>
    <w:rsid w:val="00972330"/>
    <w:rsid w:val="0097238E"/>
    <w:rsid w:val="009752E9"/>
    <w:rsid w:val="00975709"/>
    <w:rsid w:val="00980122"/>
    <w:rsid w:val="00980260"/>
    <w:rsid w:val="0098033A"/>
    <w:rsid w:val="00980CF6"/>
    <w:rsid w:val="00981344"/>
    <w:rsid w:val="00982A78"/>
    <w:rsid w:val="00983E57"/>
    <w:rsid w:val="009840CF"/>
    <w:rsid w:val="00986966"/>
    <w:rsid w:val="00986C46"/>
    <w:rsid w:val="00987E79"/>
    <w:rsid w:val="009924A3"/>
    <w:rsid w:val="00992FB8"/>
    <w:rsid w:val="00992FE2"/>
    <w:rsid w:val="0099370E"/>
    <w:rsid w:val="0099371F"/>
    <w:rsid w:val="0099412B"/>
    <w:rsid w:val="00997D5F"/>
    <w:rsid w:val="009A0B7B"/>
    <w:rsid w:val="009A22B2"/>
    <w:rsid w:val="009A3323"/>
    <w:rsid w:val="009A612F"/>
    <w:rsid w:val="009B14E4"/>
    <w:rsid w:val="009B2759"/>
    <w:rsid w:val="009B32BC"/>
    <w:rsid w:val="009B3B9A"/>
    <w:rsid w:val="009B493D"/>
    <w:rsid w:val="009B64E3"/>
    <w:rsid w:val="009B6BCE"/>
    <w:rsid w:val="009B6D59"/>
    <w:rsid w:val="009B7E37"/>
    <w:rsid w:val="009C1356"/>
    <w:rsid w:val="009C3BDC"/>
    <w:rsid w:val="009C5079"/>
    <w:rsid w:val="009C676E"/>
    <w:rsid w:val="009C7395"/>
    <w:rsid w:val="009D00EB"/>
    <w:rsid w:val="009D2274"/>
    <w:rsid w:val="009D4E4C"/>
    <w:rsid w:val="009D556B"/>
    <w:rsid w:val="009D6C74"/>
    <w:rsid w:val="009D6DE5"/>
    <w:rsid w:val="009E0622"/>
    <w:rsid w:val="009E0AF4"/>
    <w:rsid w:val="009E2333"/>
    <w:rsid w:val="009E42CC"/>
    <w:rsid w:val="009E6597"/>
    <w:rsid w:val="009E706F"/>
    <w:rsid w:val="009F3B70"/>
    <w:rsid w:val="009F416C"/>
    <w:rsid w:val="009F5764"/>
    <w:rsid w:val="009F6455"/>
    <w:rsid w:val="00A0184D"/>
    <w:rsid w:val="00A01C30"/>
    <w:rsid w:val="00A02678"/>
    <w:rsid w:val="00A076DE"/>
    <w:rsid w:val="00A10CE6"/>
    <w:rsid w:val="00A10D6E"/>
    <w:rsid w:val="00A10DE2"/>
    <w:rsid w:val="00A1137B"/>
    <w:rsid w:val="00A11DEA"/>
    <w:rsid w:val="00A12338"/>
    <w:rsid w:val="00A136FA"/>
    <w:rsid w:val="00A15678"/>
    <w:rsid w:val="00A177FA"/>
    <w:rsid w:val="00A17870"/>
    <w:rsid w:val="00A203A6"/>
    <w:rsid w:val="00A21B8F"/>
    <w:rsid w:val="00A2526D"/>
    <w:rsid w:val="00A265BC"/>
    <w:rsid w:val="00A32C84"/>
    <w:rsid w:val="00A343E6"/>
    <w:rsid w:val="00A35587"/>
    <w:rsid w:val="00A35E9E"/>
    <w:rsid w:val="00A36525"/>
    <w:rsid w:val="00A36F5C"/>
    <w:rsid w:val="00A3769A"/>
    <w:rsid w:val="00A41A86"/>
    <w:rsid w:val="00A441A3"/>
    <w:rsid w:val="00A443BB"/>
    <w:rsid w:val="00A44CF0"/>
    <w:rsid w:val="00A53297"/>
    <w:rsid w:val="00A55181"/>
    <w:rsid w:val="00A5574A"/>
    <w:rsid w:val="00A63325"/>
    <w:rsid w:val="00A644F1"/>
    <w:rsid w:val="00A64550"/>
    <w:rsid w:val="00A703D0"/>
    <w:rsid w:val="00A71CD9"/>
    <w:rsid w:val="00A726F8"/>
    <w:rsid w:val="00A72EA1"/>
    <w:rsid w:val="00A747B4"/>
    <w:rsid w:val="00A81C73"/>
    <w:rsid w:val="00A81FD8"/>
    <w:rsid w:val="00A902D2"/>
    <w:rsid w:val="00A93FA0"/>
    <w:rsid w:val="00A96EDE"/>
    <w:rsid w:val="00A9753E"/>
    <w:rsid w:val="00AA0C19"/>
    <w:rsid w:val="00AA0E9E"/>
    <w:rsid w:val="00AA231C"/>
    <w:rsid w:val="00AA312E"/>
    <w:rsid w:val="00AA508B"/>
    <w:rsid w:val="00AA6F95"/>
    <w:rsid w:val="00AA7854"/>
    <w:rsid w:val="00AA7B19"/>
    <w:rsid w:val="00AB1F3A"/>
    <w:rsid w:val="00AB49F6"/>
    <w:rsid w:val="00AB4C3A"/>
    <w:rsid w:val="00AB6380"/>
    <w:rsid w:val="00AC0847"/>
    <w:rsid w:val="00AC1361"/>
    <w:rsid w:val="00AC220B"/>
    <w:rsid w:val="00AC2535"/>
    <w:rsid w:val="00AC345E"/>
    <w:rsid w:val="00AC3497"/>
    <w:rsid w:val="00AC579F"/>
    <w:rsid w:val="00AC6242"/>
    <w:rsid w:val="00AC7C97"/>
    <w:rsid w:val="00AD01BD"/>
    <w:rsid w:val="00AD063A"/>
    <w:rsid w:val="00AD5BAC"/>
    <w:rsid w:val="00AD5DC4"/>
    <w:rsid w:val="00AD6743"/>
    <w:rsid w:val="00AD741D"/>
    <w:rsid w:val="00AE0CF7"/>
    <w:rsid w:val="00AE0F0D"/>
    <w:rsid w:val="00AE11D1"/>
    <w:rsid w:val="00AE39AA"/>
    <w:rsid w:val="00AE427C"/>
    <w:rsid w:val="00AE63FE"/>
    <w:rsid w:val="00AE786A"/>
    <w:rsid w:val="00AE7C65"/>
    <w:rsid w:val="00AF1F05"/>
    <w:rsid w:val="00AF1F6E"/>
    <w:rsid w:val="00AF2DC8"/>
    <w:rsid w:val="00AF5121"/>
    <w:rsid w:val="00AF550A"/>
    <w:rsid w:val="00AF5C9F"/>
    <w:rsid w:val="00AF7B85"/>
    <w:rsid w:val="00AF7BA0"/>
    <w:rsid w:val="00B00934"/>
    <w:rsid w:val="00B02782"/>
    <w:rsid w:val="00B0289A"/>
    <w:rsid w:val="00B04F9C"/>
    <w:rsid w:val="00B0570C"/>
    <w:rsid w:val="00B05C51"/>
    <w:rsid w:val="00B076DD"/>
    <w:rsid w:val="00B12BD2"/>
    <w:rsid w:val="00B1331A"/>
    <w:rsid w:val="00B13FB0"/>
    <w:rsid w:val="00B164EC"/>
    <w:rsid w:val="00B16773"/>
    <w:rsid w:val="00B167F4"/>
    <w:rsid w:val="00B21087"/>
    <w:rsid w:val="00B22589"/>
    <w:rsid w:val="00B239D8"/>
    <w:rsid w:val="00B23A0B"/>
    <w:rsid w:val="00B26173"/>
    <w:rsid w:val="00B30C1B"/>
    <w:rsid w:val="00B3218A"/>
    <w:rsid w:val="00B3417C"/>
    <w:rsid w:val="00B35D3A"/>
    <w:rsid w:val="00B413E1"/>
    <w:rsid w:val="00B43578"/>
    <w:rsid w:val="00B4411E"/>
    <w:rsid w:val="00B44AED"/>
    <w:rsid w:val="00B45E43"/>
    <w:rsid w:val="00B50B7D"/>
    <w:rsid w:val="00B52594"/>
    <w:rsid w:val="00B54E51"/>
    <w:rsid w:val="00B55482"/>
    <w:rsid w:val="00B61C08"/>
    <w:rsid w:val="00B640CE"/>
    <w:rsid w:val="00B650FD"/>
    <w:rsid w:val="00B65D10"/>
    <w:rsid w:val="00B70FBF"/>
    <w:rsid w:val="00B71073"/>
    <w:rsid w:val="00B7233D"/>
    <w:rsid w:val="00B7336C"/>
    <w:rsid w:val="00B73DBB"/>
    <w:rsid w:val="00B74391"/>
    <w:rsid w:val="00B75989"/>
    <w:rsid w:val="00B76589"/>
    <w:rsid w:val="00B773E5"/>
    <w:rsid w:val="00B77D80"/>
    <w:rsid w:val="00B823F7"/>
    <w:rsid w:val="00B82C4B"/>
    <w:rsid w:val="00B841A6"/>
    <w:rsid w:val="00B8538D"/>
    <w:rsid w:val="00B85757"/>
    <w:rsid w:val="00B8653A"/>
    <w:rsid w:val="00B87A8E"/>
    <w:rsid w:val="00B90689"/>
    <w:rsid w:val="00B91743"/>
    <w:rsid w:val="00B926B5"/>
    <w:rsid w:val="00B92967"/>
    <w:rsid w:val="00B936B1"/>
    <w:rsid w:val="00B94513"/>
    <w:rsid w:val="00B94C9D"/>
    <w:rsid w:val="00B950D7"/>
    <w:rsid w:val="00B9695A"/>
    <w:rsid w:val="00BA056F"/>
    <w:rsid w:val="00BA19E0"/>
    <w:rsid w:val="00BA4DE9"/>
    <w:rsid w:val="00BB063C"/>
    <w:rsid w:val="00BB0A42"/>
    <w:rsid w:val="00BB2CF1"/>
    <w:rsid w:val="00BB3E68"/>
    <w:rsid w:val="00BB5A07"/>
    <w:rsid w:val="00BB6FC1"/>
    <w:rsid w:val="00BB76E3"/>
    <w:rsid w:val="00BB7EA0"/>
    <w:rsid w:val="00BC1481"/>
    <w:rsid w:val="00BC1961"/>
    <w:rsid w:val="00BC232E"/>
    <w:rsid w:val="00BC439D"/>
    <w:rsid w:val="00BC7512"/>
    <w:rsid w:val="00BD08C4"/>
    <w:rsid w:val="00BD149C"/>
    <w:rsid w:val="00BD155D"/>
    <w:rsid w:val="00BD4094"/>
    <w:rsid w:val="00BD7121"/>
    <w:rsid w:val="00BE1740"/>
    <w:rsid w:val="00BE1EA4"/>
    <w:rsid w:val="00BE251F"/>
    <w:rsid w:val="00BE46AB"/>
    <w:rsid w:val="00BE6512"/>
    <w:rsid w:val="00BF0591"/>
    <w:rsid w:val="00BF061F"/>
    <w:rsid w:val="00BF136F"/>
    <w:rsid w:val="00BF4487"/>
    <w:rsid w:val="00BF6944"/>
    <w:rsid w:val="00BF6EE4"/>
    <w:rsid w:val="00BF7BC2"/>
    <w:rsid w:val="00C017EF"/>
    <w:rsid w:val="00C02B59"/>
    <w:rsid w:val="00C036AC"/>
    <w:rsid w:val="00C03C27"/>
    <w:rsid w:val="00C04B98"/>
    <w:rsid w:val="00C05691"/>
    <w:rsid w:val="00C10B12"/>
    <w:rsid w:val="00C11613"/>
    <w:rsid w:val="00C13F75"/>
    <w:rsid w:val="00C149FC"/>
    <w:rsid w:val="00C15710"/>
    <w:rsid w:val="00C20951"/>
    <w:rsid w:val="00C20A6A"/>
    <w:rsid w:val="00C219DC"/>
    <w:rsid w:val="00C27B00"/>
    <w:rsid w:val="00C34F88"/>
    <w:rsid w:val="00C35721"/>
    <w:rsid w:val="00C35B27"/>
    <w:rsid w:val="00C36702"/>
    <w:rsid w:val="00C3694B"/>
    <w:rsid w:val="00C428C0"/>
    <w:rsid w:val="00C478EE"/>
    <w:rsid w:val="00C47EC8"/>
    <w:rsid w:val="00C50C6E"/>
    <w:rsid w:val="00C50C89"/>
    <w:rsid w:val="00C51634"/>
    <w:rsid w:val="00C5345A"/>
    <w:rsid w:val="00C5420E"/>
    <w:rsid w:val="00C54248"/>
    <w:rsid w:val="00C55D8E"/>
    <w:rsid w:val="00C56609"/>
    <w:rsid w:val="00C61F25"/>
    <w:rsid w:val="00C62053"/>
    <w:rsid w:val="00C6289E"/>
    <w:rsid w:val="00C63978"/>
    <w:rsid w:val="00C64243"/>
    <w:rsid w:val="00C65EA1"/>
    <w:rsid w:val="00C74684"/>
    <w:rsid w:val="00C76A08"/>
    <w:rsid w:val="00C81040"/>
    <w:rsid w:val="00C8193B"/>
    <w:rsid w:val="00C85E74"/>
    <w:rsid w:val="00C86B8B"/>
    <w:rsid w:val="00C87BDC"/>
    <w:rsid w:val="00C91539"/>
    <w:rsid w:val="00C918E6"/>
    <w:rsid w:val="00C91A67"/>
    <w:rsid w:val="00C9287C"/>
    <w:rsid w:val="00C958DD"/>
    <w:rsid w:val="00C96BE9"/>
    <w:rsid w:val="00CA0462"/>
    <w:rsid w:val="00CA0EDE"/>
    <w:rsid w:val="00CA1D4D"/>
    <w:rsid w:val="00CA4DE5"/>
    <w:rsid w:val="00CA56CC"/>
    <w:rsid w:val="00CA5EEB"/>
    <w:rsid w:val="00CA6574"/>
    <w:rsid w:val="00CB05A2"/>
    <w:rsid w:val="00CB7AFF"/>
    <w:rsid w:val="00CC020D"/>
    <w:rsid w:val="00CC0221"/>
    <w:rsid w:val="00CC03A9"/>
    <w:rsid w:val="00CC424E"/>
    <w:rsid w:val="00CC5C68"/>
    <w:rsid w:val="00CD23B6"/>
    <w:rsid w:val="00CD2AA3"/>
    <w:rsid w:val="00CD3E3F"/>
    <w:rsid w:val="00CD5AD0"/>
    <w:rsid w:val="00CD5D93"/>
    <w:rsid w:val="00CD6689"/>
    <w:rsid w:val="00CE3007"/>
    <w:rsid w:val="00CE37C9"/>
    <w:rsid w:val="00CE3AD0"/>
    <w:rsid w:val="00CE49DE"/>
    <w:rsid w:val="00CE78A4"/>
    <w:rsid w:val="00CF279B"/>
    <w:rsid w:val="00D00077"/>
    <w:rsid w:val="00D006A4"/>
    <w:rsid w:val="00D00E18"/>
    <w:rsid w:val="00D01B2C"/>
    <w:rsid w:val="00D02CB6"/>
    <w:rsid w:val="00D04E2E"/>
    <w:rsid w:val="00D050FA"/>
    <w:rsid w:val="00D0517D"/>
    <w:rsid w:val="00D052CD"/>
    <w:rsid w:val="00D07BC0"/>
    <w:rsid w:val="00D10F1A"/>
    <w:rsid w:val="00D118F7"/>
    <w:rsid w:val="00D147E4"/>
    <w:rsid w:val="00D14924"/>
    <w:rsid w:val="00D20281"/>
    <w:rsid w:val="00D20718"/>
    <w:rsid w:val="00D2515B"/>
    <w:rsid w:val="00D2674B"/>
    <w:rsid w:val="00D26A27"/>
    <w:rsid w:val="00D27267"/>
    <w:rsid w:val="00D345BB"/>
    <w:rsid w:val="00D37B77"/>
    <w:rsid w:val="00D41B63"/>
    <w:rsid w:val="00D43280"/>
    <w:rsid w:val="00D432E4"/>
    <w:rsid w:val="00D43EBC"/>
    <w:rsid w:val="00D529C2"/>
    <w:rsid w:val="00D52AB0"/>
    <w:rsid w:val="00D53351"/>
    <w:rsid w:val="00D55326"/>
    <w:rsid w:val="00D554AC"/>
    <w:rsid w:val="00D57EA0"/>
    <w:rsid w:val="00D6123C"/>
    <w:rsid w:val="00D61DAE"/>
    <w:rsid w:val="00D62429"/>
    <w:rsid w:val="00D6252A"/>
    <w:rsid w:val="00D64FA3"/>
    <w:rsid w:val="00D66041"/>
    <w:rsid w:val="00D666ED"/>
    <w:rsid w:val="00D667D2"/>
    <w:rsid w:val="00D66BF1"/>
    <w:rsid w:val="00D67F97"/>
    <w:rsid w:val="00D74465"/>
    <w:rsid w:val="00D76084"/>
    <w:rsid w:val="00D7676B"/>
    <w:rsid w:val="00D76D85"/>
    <w:rsid w:val="00D76DA4"/>
    <w:rsid w:val="00D76E1F"/>
    <w:rsid w:val="00D9051F"/>
    <w:rsid w:val="00D91B6F"/>
    <w:rsid w:val="00D92B1E"/>
    <w:rsid w:val="00D93850"/>
    <w:rsid w:val="00D94510"/>
    <w:rsid w:val="00D96511"/>
    <w:rsid w:val="00D9733C"/>
    <w:rsid w:val="00D97B0A"/>
    <w:rsid w:val="00D97CF8"/>
    <w:rsid w:val="00DA0440"/>
    <w:rsid w:val="00DA0C76"/>
    <w:rsid w:val="00DA1577"/>
    <w:rsid w:val="00DA1C75"/>
    <w:rsid w:val="00DA1DF3"/>
    <w:rsid w:val="00DA3F78"/>
    <w:rsid w:val="00DA3FAE"/>
    <w:rsid w:val="00DA44AA"/>
    <w:rsid w:val="00DA4EBA"/>
    <w:rsid w:val="00DA5BB5"/>
    <w:rsid w:val="00DA62BB"/>
    <w:rsid w:val="00DB1B34"/>
    <w:rsid w:val="00DB1DC1"/>
    <w:rsid w:val="00DB2115"/>
    <w:rsid w:val="00DB2D62"/>
    <w:rsid w:val="00DB4A9C"/>
    <w:rsid w:val="00DB516B"/>
    <w:rsid w:val="00DB6A6B"/>
    <w:rsid w:val="00DC48A4"/>
    <w:rsid w:val="00DC5F93"/>
    <w:rsid w:val="00DD34B7"/>
    <w:rsid w:val="00DD3944"/>
    <w:rsid w:val="00DD3C29"/>
    <w:rsid w:val="00DD614A"/>
    <w:rsid w:val="00DE1F9E"/>
    <w:rsid w:val="00DE2477"/>
    <w:rsid w:val="00DE31E9"/>
    <w:rsid w:val="00DE4EE2"/>
    <w:rsid w:val="00DE53FD"/>
    <w:rsid w:val="00DE5745"/>
    <w:rsid w:val="00DE5FDA"/>
    <w:rsid w:val="00DE61F7"/>
    <w:rsid w:val="00DE62A6"/>
    <w:rsid w:val="00DE6483"/>
    <w:rsid w:val="00DE6727"/>
    <w:rsid w:val="00DE7DA7"/>
    <w:rsid w:val="00DF048F"/>
    <w:rsid w:val="00DF053B"/>
    <w:rsid w:val="00DF4714"/>
    <w:rsid w:val="00DF4C26"/>
    <w:rsid w:val="00DF5C87"/>
    <w:rsid w:val="00DF71B3"/>
    <w:rsid w:val="00E0013B"/>
    <w:rsid w:val="00E03858"/>
    <w:rsid w:val="00E04831"/>
    <w:rsid w:val="00E0630C"/>
    <w:rsid w:val="00E068B9"/>
    <w:rsid w:val="00E10C48"/>
    <w:rsid w:val="00E1326E"/>
    <w:rsid w:val="00E13DC4"/>
    <w:rsid w:val="00E14469"/>
    <w:rsid w:val="00E14E7B"/>
    <w:rsid w:val="00E202D9"/>
    <w:rsid w:val="00E210A2"/>
    <w:rsid w:val="00E235FB"/>
    <w:rsid w:val="00E23C48"/>
    <w:rsid w:val="00E23F50"/>
    <w:rsid w:val="00E254D0"/>
    <w:rsid w:val="00E32F84"/>
    <w:rsid w:val="00E33A41"/>
    <w:rsid w:val="00E33D7C"/>
    <w:rsid w:val="00E34414"/>
    <w:rsid w:val="00E40DCB"/>
    <w:rsid w:val="00E426AE"/>
    <w:rsid w:val="00E44BF6"/>
    <w:rsid w:val="00E46895"/>
    <w:rsid w:val="00E47DBB"/>
    <w:rsid w:val="00E47F28"/>
    <w:rsid w:val="00E522C3"/>
    <w:rsid w:val="00E53340"/>
    <w:rsid w:val="00E53707"/>
    <w:rsid w:val="00E54227"/>
    <w:rsid w:val="00E56364"/>
    <w:rsid w:val="00E6127D"/>
    <w:rsid w:val="00E624FC"/>
    <w:rsid w:val="00E627B2"/>
    <w:rsid w:val="00E63ABF"/>
    <w:rsid w:val="00E651A9"/>
    <w:rsid w:val="00E66483"/>
    <w:rsid w:val="00E704D5"/>
    <w:rsid w:val="00E717FE"/>
    <w:rsid w:val="00E72DB2"/>
    <w:rsid w:val="00E72EC3"/>
    <w:rsid w:val="00E735B5"/>
    <w:rsid w:val="00E80841"/>
    <w:rsid w:val="00E8182C"/>
    <w:rsid w:val="00E837BF"/>
    <w:rsid w:val="00E84757"/>
    <w:rsid w:val="00E8543E"/>
    <w:rsid w:val="00E856E8"/>
    <w:rsid w:val="00E85909"/>
    <w:rsid w:val="00E92866"/>
    <w:rsid w:val="00E93476"/>
    <w:rsid w:val="00E9485C"/>
    <w:rsid w:val="00EA0A88"/>
    <w:rsid w:val="00EA1345"/>
    <w:rsid w:val="00EA1722"/>
    <w:rsid w:val="00EA210F"/>
    <w:rsid w:val="00EA3451"/>
    <w:rsid w:val="00EA68B6"/>
    <w:rsid w:val="00EA706A"/>
    <w:rsid w:val="00EB0108"/>
    <w:rsid w:val="00EB1858"/>
    <w:rsid w:val="00EB1B6D"/>
    <w:rsid w:val="00EB258B"/>
    <w:rsid w:val="00EB35D1"/>
    <w:rsid w:val="00EB4959"/>
    <w:rsid w:val="00EB57FF"/>
    <w:rsid w:val="00EB6F6B"/>
    <w:rsid w:val="00EB7253"/>
    <w:rsid w:val="00EC1BBC"/>
    <w:rsid w:val="00EC598A"/>
    <w:rsid w:val="00EC67D8"/>
    <w:rsid w:val="00ED0E2C"/>
    <w:rsid w:val="00ED2E73"/>
    <w:rsid w:val="00ED67A1"/>
    <w:rsid w:val="00ED7551"/>
    <w:rsid w:val="00ED7691"/>
    <w:rsid w:val="00EE06B7"/>
    <w:rsid w:val="00EE256B"/>
    <w:rsid w:val="00EE4BF5"/>
    <w:rsid w:val="00EE5101"/>
    <w:rsid w:val="00EE5158"/>
    <w:rsid w:val="00EE642E"/>
    <w:rsid w:val="00EE692D"/>
    <w:rsid w:val="00EE6F09"/>
    <w:rsid w:val="00EF0306"/>
    <w:rsid w:val="00EF0D37"/>
    <w:rsid w:val="00EF1F2E"/>
    <w:rsid w:val="00EF687A"/>
    <w:rsid w:val="00EF6D8E"/>
    <w:rsid w:val="00EF730E"/>
    <w:rsid w:val="00EF79D5"/>
    <w:rsid w:val="00F00BD7"/>
    <w:rsid w:val="00F025B0"/>
    <w:rsid w:val="00F03172"/>
    <w:rsid w:val="00F03F9D"/>
    <w:rsid w:val="00F04323"/>
    <w:rsid w:val="00F04B02"/>
    <w:rsid w:val="00F04EF5"/>
    <w:rsid w:val="00F06914"/>
    <w:rsid w:val="00F06977"/>
    <w:rsid w:val="00F11352"/>
    <w:rsid w:val="00F1194D"/>
    <w:rsid w:val="00F11B50"/>
    <w:rsid w:val="00F13351"/>
    <w:rsid w:val="00F2225A"/>
    <w:rsid w:val="00F25171"/>
    <w:rsid w:val="00F27EE8"/>
    <w:rsid w:val="00F314BC"/>
    <w:rsid w:val="00F323A9"/>
    <w:rsid w:val="00F328A3"/>
    <w:rsid w:val="00F3475E"/>
    <w:rsid w:val="00F379E6"/>
    <w:rsid w:val="00F421FB"/>
    <w:rsid w:val="00F44D72"/>
    <w:rsid w:val="00F463A1"/>
    <w:rsid w:val="00F46473"/>
    <w:rsid w:val="00F473C4"/>
    <w:rsid w:val="00F4744B"/>
    <w:rsid w:val="00F47C6F"/>
    <w:rsid w:val="00F503A5"/>
    <w:rsid w:val="00F516BA"/>
    <w:rsid w:val="00F52758"/>
    <w:rsid w:val="00F54DC7"/>
    <w:rsid w:val="00F54E9E"/>
    <w:rsid w:val="00F55F0A"/>
    <w:rsid w:val="00F57619"/>
    <w:rsid w:val="00F57BDF"/>
    <w:rsid w:val="00F57D1A"/>
    <w:rsid w:val="00F619FE"/>
    <w:rsid w:val="00F67572"/>
    <w:rsid w:val="00F67588"/>
    <w:rsid w:val="00F7070D"/>
    <w:rsid w:val="00F71174"/>
    <w:rsid w:val="00F712B4"/>
    <w:rsid w:val="00F7206A"/>
    <w:rsid w:val="00F72124"/>
    <w:rsid w:val="00F74171"/>
    <w:rsid w:val="00F746BA"/>
    <w:rsid w:val="00F74FF6"/>
    <w:rsid w:val="00F76AB7"/>
    <w:rsid w:val="00F81846"/>
    <w:rsid w:val="00F83E39"/>
    <w:rsid w:val="00F83FE3"/>
    <w:rsid w:val="00F84ABA"/>
    <w:rsid w:val="00F84B9F"/>
    <w:rsid w:val="00F86CAF"/>
    <w:rsid w:val="00F908FB"/>
    <w:rsid w:val="00F91C28"/>
    <w:rsid w:val="00F9212D"/>
    <w:rsid w:val="00F93BA7"/>
    <w:rsid w:val="00F94426"/>
    <w:rsid w:val="00F946A3"/>
    <w:rsid w:val="00F955BD"/>
    <w:rsid w:val="00F96872"/>
    <w:rsid w:val="00F97BF0"/>
    <w:rsid w:val="00FA0D5A"/>
    <w:rsid w:val="00FA283F"/>
    <w:rsid w:val="00FA374D"/>
    <w:rsid w:val="00FA3E43"/>
    <w:rsid w:val="00FA40FA"/>
    <w:rsid w:val="00FB12C7"/>
    <w:rsid w:val="00FB17BB"/>
    <w:rsid w:val="00FB2990"/>
    <w:rsid w:val="00FB35D5"/>
    <w:rsid w:val="00FB37B8"/>
    <w:rsid w:val="00FB39A6"/>
    <w:rsid w:val="00FB42D8"/>
    <w:rsid w:val="00FC429C"/>
    <w:rsid w:val="00FC4C0A"/>
    <w:rsid w:val="00FC6304"/>
    <w:rsid w:val="00FC7A61"/>
    <w:rsid w:val="00FD2DF0"/>
    <w:rsid w:val="00FD4965"/>
    <w:rsid w:val="00FD565A"/>
    <w:rsid w:val="00FD578F"/>
    <w:rsid w:val="00FD7B7F"/>
    <w:rsid w:val="00FE1B05"/>
    <w:rsid w:val="00FE1B88"/>
    <w:rsid w:val="00FE2CBD"/>
    <w:rsid w:val="00FF3115"/>
    <w:rsid w:val="00FF3711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077E"/>
    <w:rPr>
      <w:b/>
      <w:bCs/>
    </w:rPr>
  </w:style>
  <w:style w:type="character" w:styleId="a4">
    <w:name w:val="Hyperlink"/>
    <w:basedOn w:val="a0"/>
    <w:uiPriority w:val="99"/>
    <w:unhideWhenUsed/>
    <w:rsid w:val="0006077E"/>
    <w:rPr>
      <w:color w:val="0000FF"/>
      <w:u w:val="single"/>
    </w:rPr>
  </w:style>
  <w:style w:type="character" w:customStyle="1" w:styleId="9">
    <w:name w:val="Основной текст (9)"/>
    <w:basedOn w:val="a0"/>
    <w:rsid w:val="00882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8822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1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1C0"/>
  </w:style>
  <w:style w:type="paragraph" w:styleId="a8">
    <w:name w:val="footer"/>
    <w:basedOn w:val="a"/>
    <w:link w:val="a9"/>
    <w:uiPriority w:val="99"/>
    <w:unhideWhenUsed/>
    <w:rsid w:val="00121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1C0"/>
  </w:style>
  <w:style w:type="table" w:styleId="aa">
    <w:name w:val="Table Grid"/>
    <w:basedOn w:val="a1"/>
    <w:uiPriority w:val="59"/>
    <w:rsid w:val="0012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077E"/>
    <w:rPr>
      <w:b/>
      <w:bCs/>
    </w:rPr>
  </w:style>
  <w:style w:type="character" w:styleId="a4">
    <w:name w:val="Hyperlink"/>
    <w:basedOn w:val="a0"/>
    <w:uiPriority w:val="99"/>
    <w:unhideWhenUsed/>
    <w:rsid w:val="0006077E"/>
    <w:rPr>
      <w:color w:val="0000FF"/>
      <w:u w:val="single"/>
    </w:rPr>
  </w:style>
  <w:style w:type="character" w:customStyle="1" w:styleId="9">
    <w:name w:val="Основной текст (9)"/>
    <w:basedOn w:val="a0"/>
    <w:rsid w:val="00882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8822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1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1C0"/>
  </w:style>
  <w:style w:type="paragraph" w:styleId="a8">
    <w:name w:val="footer"/>
    <w:basedOn w:val="a"/>
    <w:link w:val="a9"/>
    <w:uiPriority w:val="99"/>
    <w:unhideWhenUsed/>
    <w:rsid w:val="00121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1C0"/>
  </w:style>
  <w:style w:type="table" w:styleId="aa">
    <w:name w:val="Table Grid"/>
    <w:basedOn w:val="a1"/>
    <w:uiPriority w:val="59"/>
    <w:rsid w:val="0012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dbras.ru/doc/3_Oforml-Ssylok-Publ-GZ-CKP-2020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080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2020-04-30T17:51:00Z</dcterms:created>
  <dcterms:modified xsi:type="dcterms:W3CDTF">2020-04-30T18:15:00Z</dcterms:modified>
</cp:coreProperties>
</file>